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DB55FE" w14:textId="77777777" w:rsidR="00DB2F09" w:rsidRPr="00DB2F09" w:rsidRDefault="00DB2F09" w:rsidP="00C3065C">
      <w:pPr>
        <w:jc w:val="center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Vitamíny v lekárenskej praxi | interné školiace skriptá</w:t>
      </w:r>
    </w:p>
    <w:p w14:paraId="2A7EDD2C" w14:textId="77777777" w:rsidR="00DB2F09" w:rsidRPr="00DB2F09" w:rsidRDefault="00DB2F09" w:rsidP="00DB2F09">
      <w:pPr>
        <w:jc w:val="center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b/>
          <w:bCs/>
          <w:kern w:val="0"/>
          <w:sz w:val="32"/>
          <w:szCs w:val="32"/>
          <w:lang w:eastAsia="sk-SK"/>
          <w14:ligatures w14:val="none"/>
        </w:rPr>
        <w:t>PRODUKTOVÉ ŠKOLENIE PRE MAGISTRY</w:t>
      </w:r>
    </w:p>
    <w:p w14:paraId="5FF7AA0A" w14:textId="77777777" w:rsidR="00DB2F09" w:rsidRPr="00DB2F09" w:rsidRDefault="00DB2F09" w:rsidP="00DB2F09">
      <w:pPr>
        <w:jc w:val="center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b/>
          <w:bCs/>
          <w:kern w:val="0"/>
          <w:sz w:val="50"/>
          <w:szCs w:val="50"/>
          <w:lang w:eastAsia="sk-SK"/>
          <w14:ligatures w14:val="none"/>
        </w:rPr>
        <w:t>VITAMÍNY V LEKÁRENSKEJ PRAXI</w:t>
      </w:r>
    </w:p>
    <w:p w14:paraId="3B431F4B" w14:textId="77777777" w:rsidR="00DB2F09" w:rsidRPr="00DB2F09" w:rsidRDefault="00DB2F09" w:rsidP="00DB2F09">
      <w:pPr>
        <w:jc w:val="center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Praktické skriptá pre poradenstvo,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suplementáciu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 bezpečnosť</w:t>
      </w:r>
    </w:p>
    <w:p w14:paraId="19145C09" w14:textId="77777777" w:rsidR="00DB2F09" w:rsidRPr="00DB2F09" w:rsidRDefault="00DB2F09" w:rsidP="00DB2F09">
      <w:pPr>
        <w:jc w:val="center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Odborné podklady overené k 16. augustu 2026</w:t>
      </w: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br/>
        <w:t xml:space="preserve">Verzia 1.0 – interné odborné školenie; nie je určené ako individuálna diagnostická alebo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preskripčná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pomôcka.</w:t>
      </w:r>
    </w:p>
    <w:p w14:paraId="64E2474D" w14:textId="77777777" w:rsidR="00DB2F09" w:rsidRPr="00DB2F09" w:rsidRDefault="00DB2F09" w:rsidP="006F7A9D">
      <w:pPr>
        <w:jc w:val="center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Vitamíny v lekárenskej praxi | interné školiace skriptá</w:t>
      </w:r>
    </w:p>
    <w:p w14:paraId="57D6534D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365F91"/>
          <w:kern w:val="0"/>
          <w:sz w:val="28"/>
          <w:szCs w:val="28"/>
          <w:lang w:eastAsia="sk-SK"/>
          <w14:ligatures w14:val="none"/>
        </w:rPr>
        <w:t>Ako používať tieto skriptá</w:t>
      </w:r>
    </w:p>
    <w:p w14:paraId="54469440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Tieto skriptá sú určené pre farmaceutky a farmaceutov v komunitnej lekárni. Nejde o náhradu klinického odporúčania, SPC lieku alebo individuálneho lekárskeho rozhodnutia. Cieľom je zjednotiť praktické poradenstvo pri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táre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: rozpoznať, kedy má suplementácia zmysel, vybrať vhodnú formu a dávku, preveriť lieky a ďalšie doplnky a vedieť, kedy už pacient potrebuje laboratórne vyšetrenie alebo lekára.</w:t>
      </w:r>
    </w:p>
    <w:p w14:paraId="32B24EF1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Pri dávkach treba vždy rozlišovať tri úrovne: 1. referenčný príjem pre zdravú populáciu, 2. dávku používanú na prevenciu nedostatočného príjmu a 3. terapeutickú dávku pri preukázanom deficite. Horný tolerovateľný limit (UL) nie je odporúčaná dávka; je to hranica chronického celkového príjmu, pri ktorej sa u bežnej populácie neočakáva významné riziko nežiaducich účinkov.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60FFEB36" w14:textId="77777777">
        <w:tc>
          <w:tcPr>
            <w:tcW w:w="9858" w:type="dxa"/>
            <w:shd w:val="clear" w:color="auto" w:fill="EEF5E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8B3868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 xml:space="preserve">Základné pravidlo pri </w:t>
            </w:r>
            <w:proofErr w:type="spellStart"/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táre</w:t>
            </w:r>
            <w:proofErr w:type="spellEnd"/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Najprv zistiť dôvod, prečo pacient vitamín chce. Až potom vyberať produkt. Únava, vypadávanie vlasov,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parestézie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či opakované infekcie nie sú diagnózy nedostatku vitamínu.</w:t>
            </w:r>
          </w:p>
        </w:tc>
      </w:tr>
    </w:tbl>
    <w:p w14:paraId="54EF5301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Európske referenčné hodnoty a bezpečnostné limity majú v tomto materiáli prioritu. Americké NIH Office of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Dietary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Supplements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slúži ako kvalitný doplnkový zdroj pre fyziológiu, rizikové skupiny, interakcie a prehľad klinických dát. Pri zdravotných tvrdeniach pre výživové doplnky je rozhodujúci register Európskej únie.</w:t>
      </w:r>
    </w:p>
    <w:p w14:paraId="0740FE7D" w14:textId="77777777" w:rsidR="00C3065C" w:rsidRDefault="00C3065C" w:rsidP="00DB2F09">
      <w:pPr>
        <w:rPr>
          <w:rFonts w:ascii="Calibri" w:eastAsia="Times New Roman" w:hAnsi="Calibri" w:cs="Calibri"/>
          <w:b/>
          <w:bCs/>
          <w:color w:val="365F91"/>
          <w:kern w:val="0"/>
          <w:sz w:val="28"/>
          <w:szCs w:val="28"/>
          <w:lang w:eastAsia="sk-SK"/>
          <w14:ligatures w14:val="none"/>
        </w:rPr>
      </w:pPr>
    </w:p>
    <w:p w14:paraId="7C5025C6" w14:textId="6E6A836E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365F91"/>
          <w:kern w:val="0"/>
          <w:sz w:val="28"/>
          <w:szCs w:val="28"/>
          <w:lang w:eastAsia="sk-SK"/>
          <w14:ligatures w14:val="none"/>
        </w:rPr>
        <w:t xml:space="preserve">1. Základy vitamínovej </w:t>
      </w:r>
      <w:proofErr w:type="spellStart"/>
      <w:r w:rsidRPr="00DB2F09">
        <w:rPr>
          <w:rFonts w:ascii="Calibri" w:eastAsia="Times New Roman" w:hAnsi="Calibri" w:cs="Calibri"/>
          <w:b/>
          <w:bCs/>
          <w:color w:val="365F91"/>
          <w:kern w:val="0"/>
          <w:sz w:val="28"/>
          <w:szCs w:val="28"/>
          <w:lang w:eastAsia="sk-SK"/>
          <w14:ligatures w14:val="none"/>
        </w:rPr>
        <w:t>suplementácie</w:t>
      </w:r>
      <w:proofErr w:type="spellEnd"/>
    </w:p>
    <w:p w14:paraId="29C62A05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1.1 Vitamíny rozpustné v tukoch a vo vode</w:t>
      </w:r>
    </w:p>
    <w:p w14:paraId="3246DCDB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Vitamíny A, D, E a K sú rozpustné v tukoch. Ich vstrebávanie súvisí s trávením tukov, žlčou a pankreatickou funkciou. Pri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cholestáze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, chronickej pankreatickej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insuficiencii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, celiakii, zápalových ochoreniach čreva, po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bariatrickej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operácii alebo pri liekoch znižujúcich absorpciu tukov môže byť ich stav zhoršený. Pri vitamínoch 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a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D je zároveň dôležitá možnosť kumulácie a toxicity.</w:t>
      </w:r>
    </w:p>
    <w:p w14:paraId="63938BA2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Vitamín C a vitamíny skupiny B sú rozpustné vo vode. To neznamená, že ich možno užívať bez obmedzenia. Typickým príkladom je vitamín B6: dlhodobé vysoké dávky môžu vyvolať periférnu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neuropatiu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. Niacín vo farmakologických dávkach môže spôsobiť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flushing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 poškodenie pečene. Vysoké dávky vitamínu C môžu vyvolať gastrointestinálne ťažkosti a u predisponovaných pacientov zvýšiť riziko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oxalátovej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nefropatie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alebo kameňov.</w:t>
      </w:r>
    </w:p>
    <w:p w14:paraId="2E60AA08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1.2 Kto patrí medzi rizikové skupiny</w:t>
      </w:r>
    </w:p>
    <w:p w14:paraId="4D67C920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ľudia s veľmi jednostrannou alebo energeticky výrazne obmedzenou stravou;</w:t>
      </w:r>
    </w:p>
    <w:p w14:paraId="219BB0C3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vegáni – zásadná pozornosť vitamínu B12; podľa jedálnička aj vitamínu D;</w:t>
      </w:r>
    </w:p>
    <w:p w14:paraId="6CD8DE09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 xml:space="preserve">seniori – najmä B12 a vitamín D, podľa stravy aj ďalšie </w:t>
      </w:r>
      <w:proofErr w:type="spellStart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mikronutrienty</w:t>
      </w:r>
      <w:proofErr w:type="spellEnd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;</w:t>
      </w:r>
    </w:p>
    <w:p w14:paraId="56CAFE1F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 xml:space="preserve">tehotné ženy a ženy plánujúce graviditu – </w:t>
      </w:r>
      <w:proofErr w:type="spellStart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folát</w:t>
      </w:r>
      <w:proofErr w:type="spellEnd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, vitamín D a ďalšie nutrienty podľa odporúčaní;</w:t>
      </w:r>
    </w:p>
    <w:p w14:paraId="4483D908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 xml:space="preserve">pacienti po </w:t>
      </w:r>
      <w:proofErr w:type="spellStart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bariatrických</w:t>
      </w:r>
      <w:proofErr w:type="spellEnd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 xml:space="preserve"> operáciách alebo s </w:t>
      </w:r>
      <w:proofErr w:type="spellStart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malabsorpciou</w:t>
      </w:r>
      <w:proofErr w:type="spellEnd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;</w:t>
      </w:r>
    </w:p>
    <w:p w14:paraId="1129E5B8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pacienti dlhodobo užívajúci lieky ovplyvňujúce absorpciu alebo metabolizmus vitamínov;</w:t>
      </w:r>
    </w:p>
    <w:p w14:paraId="0F5E8735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 xml:space="preserve">pacienti s poruchou príjmu potravy, závislosťou od alkoholu alebo závažnou </w:t>
      </w:r>
      <w:proofErr w:type="spellStart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malnutríciou</w:t>
      </w:r>
      <w:proofErr w:type="spellEnd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.</w:t>
      </w:r>
    </w:p>
    <w:p w14:paraId="4D8150E6" w14:textId="77777777" w:rsidR="00C3065C" w:rsidRDefault="00C3065C" w:rsidP="00DB2F09">
      <w:pPr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</w:pPr>
    </w:p>
    <w:p w14:paraId="3875BB0B" w14:textId="636FA7B2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lastRenderedPageBreak/>
        <w:t>1.3 Osem otázok pred odporučením</w:t>
      </w:r>
    </w:p>
    <w:p w14:paraId="17957714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Čo chcete vitamínom riešiť a ako dlho problém trvá?</w:t>
      </w:r>
    </w:p>
    <w:p w14:paraId="5C060B30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Máte výsledky laboratórnych vyšetrení alebo diagnostikovaný deficit?</w:t>
      </w:r>
    </w:p>
    <w:p w14:paraId="6EE810DE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Ako vyzerá váš bežný jedálniček?</w:t>
      </w:r>
    </w:p>
    <w:p w14:paraId="57DC0C15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Užívate pravidelne lieky?</w:t>
      </w:r>
    </w:p>
    <w:p w14:paraId="2FC87000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Užívate už iné vitamíny, multivitamín, B-komplex alebo minerály?</w:t>
      </w:r>
    </w:p>
    <w:p w14:paraId="377D78D5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Ste tehotná, dojčíte alebo plánujete graviditu?</w:t>
      </w:r>
    </w:p>
    <w:p w14:paraId="63914C22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 xml:space="preserve">Máte ochorenie obličiek, pečene, tráviaceho traktu alebo ste po </w:t>
      </w:r>
      <w:proofErr w:type="spellStart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bariatrickej</w:t>
      </w:r>
      <w:proofErr w:type="spellEnd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 xml:space="preserve"> operácii?</w:t>
      </w:r>
    </w:p>
    <w:p w14:paraId="58229C80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 xml:space="preserve">Sú prítomné </w:t>
      </w:r>
      <w:proofErr w:type="spellStart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red</w:t>
      </w:r>
      <w:proofErr w:type="spellEnd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 xml:space="preserve"> </w:t>
      </w:r>
      <w:proofErr w:type="spellStart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flags</w:t>
      </w:r>
      <w:proofErr w:type="spellEnd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 xml:space="preserve"> – chudnutie, krvácanie, výrazná anémia, neurologické príznaky, pretrvávajúca hnačka, výrazná slabosť?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5E085F76" w14:textId="77777777">
        <w:tc>
          <w:tcPr>
            <w:tcW w:w="9858" w:type="dxa"/>
            <w:shd w:val="clear" w:color="auto" w:fill="FDE9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DAC6C6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Praktická chyba, ktorej sa vyhnúť</w:t>
            </w: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Sčítať iba dávku z jedného prípravku. Pacient môže mať B6 v multivitamíne, magnéziu, B-komplexe aj prípravku na nervy. Pri vitamínoch s UL treba počítať celkový chronický príjem zo všetkých doplnkov.</w:t>
            </w:r>
          </w:p>
        </w:tc>
      </w:tr>
    </w:tbl>
    <w:p w14:paraId="0243214A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1.4 Európske referenčné hodnoty pre dospelých</w:t>
      </w:r>
    </w:p>
    <w:p w14:paraId="6460CB2E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Nasledujúca tabuľka slúži ako orientačný základ pre zdravého dospelého. PRI (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Population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Reference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Intake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) alebo AI (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Adequate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Intake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) je referenčná hodnota pre dlhodobý príjem; UL (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Tolerable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Upper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Intake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Level) je horná hranica chronického príjmu, nie odporúčaná dávka. Pri liečbe deficitu sa môžu používať vyššie dávky pod odborným dohľadom. [EFSA DRV; EFSA UL 2024]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1757"/>
        <w:gridCol w:w="1752"/>
        <w:gridCol w:w="1769"/>
        <w:gridCol w:w="1878"/>
        <w:gridCol w:w="1904"/>
      </w:tblGrid>
      <w:tr w:rsidR="00DB2F09" w:rsidRPr="00DB2F09" w14:paraId="795E1E97" w14:textId="77777777">
        <w:tc>
          <w:tcPr>
            <w:tcW w:w="1949" w:type="dxa"/>
            <w:shd w:val="clear" w:color="auto" w:fill="D9EAF7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5F7F7F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Vitamín</w:t>
            </w:r>
          </w:p>
        </w:tc>
        <w:tc>
          <w:tcPr>
            <w:tcW w:w="1949" w:type="dxa"/>
            <w:shd w:val="clear" w:color="auto" w:fill="D9EAF7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AB2F8A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EFSA PRI/AI – dospelí</w:t>
            </w:r>
          </w:p>
        </w:tc>
        <w:tc>
          <w:tcPr>
            <w:tcW w:w="1949" w:type="dxa"/>
            <w:shd w:val="clear" w:color="auto" w:fill="D9EAF7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4B731C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Ženy / muži</w:t>
            </w:r>
          </w:p>
        </w:tc>
        <w:tc>
          <w:tcPr>
            <w:tcW w:w="1949" w:type="dxa"/>
            <w:shd w:val="clear" w:color="auto" w:fill="D9EAF7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8BD8EE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EFSA UL – dospelí</w:t>
            </w:r>
          </w:p>
        </w:tc>
        <w:tc>
          <w:tcPr>
            <w:tcW w:w="1949" w:type="dxa"/>
            <w:shd w:val="clear" w:color="auto" w:fill="D9EAF7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0E018C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Poznámka pre lekáreň</w:t>
            </w:r>
          </w:p>
        </w:tc>
      </w:tr>
      <w:tr w:rsidR="00DB2F09" w:rsidRPr="00DB2F09" w14:paraId="715BC2B5" w14:textId="77777777"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C872AE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A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E43F5F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PRI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600843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650 / 750 µg RE/deň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29C9A2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3 000 µg RE/deň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2916C9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UL sa vzťahuje na preformovaný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retinol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/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retinylestery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.</w:t>
            </w:r>
          </w:p>
        </w:tc>
      </w:tr>
      <w:tr w:rsidR="00DB2F09" w:rsidRPr="00DB2F09" w14:paraId="6642783A" w14:textId="77777777"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49819A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D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FDE7B4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AI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AEE0C6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15 µg = 600 IU/deň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F1D37D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100 µg = 4 000 IU/deň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4B27CC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AI predpokladá minimálnu kožnú syntézu.</w:t>
            </w:r>
          </w:p>
        </w:tc>
      </w:tr>
      <w:tr w:rsidR="00DB2F09" w:rsidRPr="00DB2F09" w14:paraId="33FC76A6" w14:textId="77777777"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0B2EFA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E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15E180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AI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789336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11 / 13 mg α-TE/deň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B462CB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300 mg/deň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3F0054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EFSA revízia UL pre E prebieha; používať aktuálne zdroje.</w:t>
            </w:r>
          </w:p>
        </w:tc>
      </w:tr>
      <w:tr w:rsidR="00DB2F09" w:rsidRPr="00DB2F09" w14:paraId="24264E50" w14:textId="77777777"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6099DD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K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FBB223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AI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EDD67D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70 µg/deň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4A30DC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UL neurčený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412B49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AI je založený na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fylochinóne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(K1).</w:t>
            </w:r>
          </w:p>
        </w:tc>
      </w:tr>
      <w:tr w:rsidR="00DB2F09" w:rsidRPr="00DB2F09" w14:paraId="53FD845C" w14:textId="77777777"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970EC7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C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1EDF93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PRI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741134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95 / 110 mg/deň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C4A2AD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UL neurčený EFSA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A195D2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Vyššie dávky môžu spôsobiť GI ťažkosti.</w:t>
            </w:r>
          </w:p>
        </w:tc>
      </w:tr>
      <w:tr w:rsidR="00DB2F09" w:rsidRPr="00DB2F09" w14:paraId="7DE7B9FD" w14:textId="77777777"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CBACEA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B1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B571A4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PRI podľa energie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D551E1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0,1 mg/MJ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B31282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UL neurčený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D9E309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Pri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malnutrícii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/alkohole myslieť na klinický deficit.</w:t>
            </w:r>
          </w:p>
        </w:tc>
      </w:tr>
      <w:tr w:rsidR="00DB2F09" w:rsidRPr="00DB2F09" w14:paraId="21DE184D" w14:textId="77777777"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D72A81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B2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8659A1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PRI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2922E4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1,6 mg/deň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2C87E2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UL neurčený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65A7AB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Deficit býva súčasťou širšej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malnutrície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.</w:t>
            </w:r>
          </w:p>
        </w:tc>
      </w:tr>
      <w:tr w:rsidR="00DB2F09" w:rsidRPr="00DB2F09" w14:paraId="4059D834" w14:textId="77777777"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570748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B3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BF2FAC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PRI podľa energie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949D26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1,6 mg NE/MJ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5D6F1A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900 mg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nikotínamid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; 10 mg nikotínová kyselina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7C3068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UL sa líši podľa formy kvôli nežiaducim účinkom.</w:t>
            </w:r>
          </w:p>
        </w:tc>
      </w:tr>
      <w:tr w:rsidR="00DB2F09" w:rsidRPr="00DB2F09" w14:paraId="42DFBF8F" w14:textId="77777777"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C8153C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B5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E3908B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AI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2CCDA2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5 mg/deň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D98EF9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UL neurčený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4EDF77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Izolovaný deficit je veľmi vzácny.</w:t>
            </w:r>
          </w:p>
        </w:tc>
      </w:tr>
      <w:tr w:rsidR="00DB2F09" w:rsidRPr="00DB2F09" w14:paraId="5A4B27CE" w14:textId="77777777"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C496EF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B6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DF1B54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PRI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282A73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1,6 / 1,7 mg/deň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F15BD0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12 mg/deň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5C12D5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Kľúčové riziko: periférna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neuropatia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.</w:t>
            </w:r>
          </w:p>
        </w:tc>
      </w:tr>
      <w:tr w:rsidR="00DB2F09" w:rsidRPr="00DB2F09" w14:paraId="11007379" w14:textId="77777777"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42ED0B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B7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8C855A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AI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E4BD0B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40 µg/deň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34FF53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UL neurčený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33F310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Vysoké dávky môžu skresliť laboratórne testy.</w:t>
            </w:r>
          </w:p>
        </w:tc>
      </w:tr>
      <w:tr w:rsidR="00DB2F09" w:rsidRPr="00DB2F09" w14:paraId="364AB704" w14:textId="77777777"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5AA772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B9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D6ACFD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PRI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B720F5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330 µg DFE/deň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780F93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1 000 µg/deň zo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suplementovaných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foriem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FA5991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Perikoncepčná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kyselina listová je osobitná preventívna indikácia.</w:t>
            </w:r>
          </w:p>
        </w:tc>
      </w:tr>
      <w:tr w:rsidR="00DB2F09" w:rsidRPr="00DB2F09" w14:paraId="4F1D7E4F" w14:textId="77777777"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5BD5CA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B12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258F35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AI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F3C296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4 µg/deň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7CE8A1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UL neurčený</w:t>
            </w:r>
          </w:p>
        </w:tc>
        <w:tc>
          <w:tcPr>
            <w:tcW w:w="19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F55729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Pri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malabsorpcii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sa využívajú výrazne vyššie perorálne dávky.</w:t>
            </w:r>
          </w:p>
        </w:tc>
      </w:tr>
    </w:tbl>
    <w:p w14:paraId="3983824D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Pozn.: Hodnoty pre graviditu, dojčenie, deti a adolescentov sa líšia. Pri produktoch vždy počítame dennú dávku a súčet z viacerých prípravkov. [EFSA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Dietary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Reference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Values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; EFSA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Summary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of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Tolerable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Upper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Intake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Levels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]</w:t>
      </w:r>
    </w:p>
    <w:p w14:paraId="034EF85A" w14:textId="77777777" w:rsidR="00C3065C" w:rsidRDefault="00C3065C" w:rsidP="00DB2F09">
      <w:pPr>
        <w:rPr>
          <w:rFonts w:ascii="Calibri" w:eastAsia="Times New Roman" w:hAnsi="Calibri" w:cs="Calibri"/>
          <w:b/>
          <w:bCs/>
          <w:color w:val="365F91"/>
          <w:kern w:val="0"/>
          <w:sz w:val="28"/>
          <w:szCs w:val="28"/>
          <w:lang w:eastAsia="sk-SK"/>
          <w14:ligatures w14:val="none"/>
        </w:rPr>
      </w:pPr>
    </w:p>
    <w:p w14:paraId="052AA981" w14:textId="75095D58" w:rsidR="00DB2F09" w:rsidRPr="00C3065C" w:rsidRDefault="00DB2F09" w:rsidP="00DB2F09">
      <w:pPr>
        <w:rPr>
          <w:rFonts w:ascii="Aptos" w:eastAsia="Times New Roman" w:hAnsi="Aptos" w:cs="Times New Roman"/>
          <w:color w:val="EE0000"/>
          <w:kern w:val="0"/>
          <w:lang w:eastAsia="sk-SK"/>
          <w14:ligatures w14:val="none"/>
        </w:rPr>
      </w:pPr>
      <w:r w:rsidRPr="00C3065C">
        <w:rPr>
          <w:rFonts w:ascii="Calibri" w:eastAsia="Times New Roman" w:hAnsi="Calibri" w:cs="Calibri"/>
          <w:b/>
          <w:bCs/>
          <w:color w:val="EE0000"/>
          <w:kern w:val="0"/>
          <w:sz w:val="28"/>
          <w:szCs w:val="28"/>
          <w:lang w:eastAsia="sk-SK"/>
          <w14:ligatures w14:val="none"/>
        </w:rPr>
        <w:lastRenderedPageBreak/>
        <w:t>2. Vitamín A</w:t>
      </w:r>
    </w:p>
    <w:p w14:paraId="50B5720F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Vitamín A je súhrnné označenie pre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retinoidy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s biologickou aktivitou vitamínu A. V potrave sa vyskytuje preformovaný vitamín A –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retinol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retinylestery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– 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provitamínové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karotenoidy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, najmä beta-karotén.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Retinol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je dôležitý pre zrakový cyklus, diferenciáciu epitelov, imunitnú funkciu, rast a reprodukciu. Väčšina zásob sa nachádza v pečeni.</w:t>
      </w:r>
    </w:p>
    <w:p w14:paraId="5BE58C21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Zdroje a deficit</w:t>
      </w:r>
    </w:p>
    <w:p w14:paraId="103DB04C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Preformovaný vitamín A poskytujú najmä pečeň, vajcia, mliečne výrobky a niektoré ryby. Beta-karotén je v oranžovej a tmavozelenej zelenine. Klinický deficit je v rozvinutých krajinách zriedkavý; myslíme naň pri závažnej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malabsorpcii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tukov, ochoreniach pankreasu,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cholestáze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alebo veľmi reštriktívnej strave. Klasickým prejavom je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šeroslepota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, pri ťažkom deficite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xerophthalmia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</w:t>
      </w:r>
    </w:p>
    <w:p w14:paraId="29A11313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Suplementácia a bezpečnosť</w:t>
      </w:r>
    </w:p>
    <w:p w14:paraId="236593F9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Rutinné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vysokodávkové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podávanie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retinolu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zdravému človeku nie je vhodné. Preformovaný vitamín A sa kumuluje a pri chronickom nadbytku môže poškodiť pečeň, kosti a vyvolať ďalšie prejavy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hypervitaminózy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. Osobitne citlivé je obdobie gravidity pre teratogénny potenciál nadbytku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retinoidov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62AFAF78" w14:textId="77777777">
        <w:tc>
          <w:tcPr>
            <w:tcW w:w="9858" w:type="dxa"/>
            <w:shd w:val="clear" w:color="auto" w:fill="EEF5E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EA89A8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 xml:space="preserve">Pre magistru pri </w:t>
            </w:r>
            <w:proofErr w:type="spellStart"/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táre</w:t>
            </w:r>
            <w:proofErr w:type="spellEnd"/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Ak tehotná žena alebo žena plánujúca graviditu kupuje multivitamín, skontrolovať formu a množstvo vitamínu A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a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zabrániť súbehu viacerých produktov s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retinolom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. Beta-karotén nie je to isté ako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retinol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, ale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vysokodávkové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beta-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karoténové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doplnky nie sú vhodnou voľbou pre fajčiarov.</w:t>
            </w:r>
          </w:p>
        </w:tc>
      </w:tr>
    </w:tbl>
    <w:p w14:paraId="08EB8CB4" w14:textId="77777777" w:rsidR="00DB2F09" w:rsidRPr="00DB2F09" w:rsidRDefault="00DB2F09" w:rsidP="00DB2F09">
      <w:pPr>
        <w:rPr>
          <w:rFonts w:ascii="Times New Roman" w:eastAsia="Times New Roman" w:hAnsi="Times New Roman" w:cs="Times New Roman"/>
          <w:vanish/>
          <w:kern w:val="0"/>
          <w:lang w:eastAsia="sk-SK"/>
          <w14:ligatures w14:val="none"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35B4B21C" w14:textId="77777777">
        <w:tc>
          <w:tcPr>
            <w:tcW w:w="9858" w:type="dxa"/>
            <w:shd w:val="clear" w:color="auto" w:fill="FDE9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817D67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Pozor – fajčiari</w:t>
            </w: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Veľké intervenčné štúdie ukázali zvýšené riziko karcinómu pľúc pri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vysokodávkovej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suplementácii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beta-karoténu u fajčiarov a azbestom exponovaných osôb. Antioxidačný prípravok s vysokou dávkou beta-karoténu preto fajčiarovi rutinne neodporúčame.</w:t>
            </w:r>
          </w:p>
        </w:tc>
      </w:tr>
    </w:tbl>
    <w:p w14:paraId="70219FE8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Dávkovanie a formy v praxi</w:t>
      </w:r>
    </w:p>
    <w:p w14:paraId="550068E9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Pri bežnom multivitamíne je podstatné rozlíšiť, koľko vitamínu A pochádza z preformovaného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retinolu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/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retinylesterov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 koľko z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provitamínových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karotenoidov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. EFSA stanovila UL 3 000 µg RE/deň pre preformovaný vitamín A u dospelých. Tento limit sa nevzťahuje na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karotenoidy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z bežnej stravy. [EFSA UL 2024]</w:t>
      </w:r>
    </w:p>
    <w:p w14:paraId="0BC5A690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Pri plánovaní gravidity a v gravidite nie je cieľom odstrániť vitamín A zo stravy – je esenciálny. Problémom je nadbytok preformovaného vitamínu A zo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suplementov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 liekov s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retinoidmi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. Pri prenatálnom produkte preto vždy skontrolujeme aj ďalšie multivitamíny, rybí/pečeňový olej a kozmetickú či dermatologickú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retinoidnú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liečbu.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10E35830" w14:textId="77777777">
        <w:tc>
          <w:tcPr>
            <w:tcW w:w="9746" w:type="dxa"/>
            <w:shd w:val="clear" w:color="auto" w:fill="FDE9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9395B7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Rýchly záver pre magistru</w:t>
            </w: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Retinol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je vitamín, ktorý má zmysel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suplementovať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cielene, nie „pre istotu“ vo vysokých dávkach. Fajčiarovi neodporúčame doplnok s vysokou dávkou beta-karoténu.</w:t>
            </w:r>
          </w:p>
        </w:tc>
      </w:tr>
    </w:tbl>
    <w:p w14:paraId="7CBAE095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Zdroje ku kapitole: EFSA DRV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Vitamin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A; EFSA 2024 UL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for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preformed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vitamin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 and β-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carotene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; NIH ODS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Vitamin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 and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Carotenoids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– Health Professional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Fact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Sheet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</w:t>
      </w:r>
    </w:p>
    <w:p w14:paraId="0E251E17" w14:textId="77777777" w:rsidR="00C3065C" w:rsidRDefault="00C3065C" w:rsidP="00DB2F09">
      <w:pPr>
        <w:rPr>
          <w:rFonts w:ascii="Calibri" w:eastAsia="Times New Roman" w:hAnsi="Calibri" w:cs="Calibri"/>
          <w:b/>
          <w:bCs/>
          <w:color w:val="365F91"/>
          <w:kern w:val="0"/>
          <w:sz w:val="28"/>
          <w:szCs w:val="28"/>
          <w:lang w:eastAsia="sk-SK"/>
          <w14:ligatures w14:val="none"/>
        </w:rPr>
      </w:pPr>
    </w:p>
    <w:p w14:paraId="2846A858" w14:textId="55AAA267" w:rsidR="00DB2F09" w:rsidRPr="00C3065C" w:rsidRDefault="00DB2F09" w:rsidP="00DB2F09">
      <w:pPr>
        <w:rPr>
          <w:rFonts w:ascii="Aptos" w:eastAsia="Times New Roman" w:hAnsi="Aptos" w:cs="Times New Roman"/>
          <w:color w:val="EE0000"/>
          <w:kern w:val="0"/>
          <w:lang w:eastAsia="sk-SK"/>
          <w14:ligatures w14:val="none"/>
        </w:rPr>
      </w:pPr>
      <w:r w:rsidRPr="00C3065C">
        <w:rPr>
          <w:rFonts w:ascii="Calibri" w:eastAsia="Times New Roman" w:hAnsi="Calibri" w:cs="Calibri"/>
          <w:b/>
          <w:bCs/>
          <w:color w:val="EE0000"/>
          <w:kern w:val="0"/>
          <w:sz w:val="28"/>
          <w:szCs w:val="28"/>
          <w:lang w:eastAsia="sk-SK"/>
          <w14:ligatures w14:val="none"/>
        </w:rPr>
        <w:t>3. Vitamín D</w:t>
      </w:r>
    </w:p>
    <w:p w14:paraId="39B50752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Vitamín D je v lekárni jeden z najčastejšie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suplementovaných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vitamínov. D3 –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cholekalciferol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– vzniká v koži pôsobením UVB a nachádza sa aj v potravinách a doplnkoch. D2 je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ergokalciferol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 Obe formy sa vstrebávajú, ale D3 vo všeobecnosti zvyšuje a udržiava 25-hydroxyvitamín D účinnejšie.</w:t>
      </w:r>
    </w:p>
    <w:p w14:paraId="70E695F9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Metabolizmus</w:t>
      </w:r>
    </w:p>
    <w:p w14:paraId="591472B5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Vitamín D zo slnka, potravy alebo doplnku je biologicky relatívne neaktívny. V pečeni sa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hydroxyluje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na 25-hydroxyvitamín D [25(OH)D,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kalcidiol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], ktorý je hlavným cirkulujúcim markerom zásob. V obličkách sa premieňa na 1,25-dihydroxyvitamín D [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kalcitriol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], hormonálne aktívnu formu.</w:t>
      </w:r>
    </w:p>
    <w:p w14:paraId="00817056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Kalcitriol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zvyšuje črevnú absorpciu vápnika a fosforu a spolu s parathormónom a ďalšími regulačnými mechanizmami udržiava minerálovú homeostázu. Nedostatok môže viesť k rachitíde u detí 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osteomalácii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u dospelých; u starších osôb sa význam vitamínu D posudzuje spolu s celkovým príjmom vápnika, svalovou funkciou a rizikom pádov a zlomenín.</w:t>
      </w:r>
    </w:p>
    <w:p w14:paraId="00BF39E9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lastRenderedPageBreak/>
        <w:t>Rizikové skupiny</w:t>
      </w:r>
    </w:p>
    <w:p w14:paraId="431D48A2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nízka expozícia slnku, celoročný pobyt prevažne v interiéri;</w:t>
      </w:r>
    </w:p>
    <w:p w14:paraId="55783B8A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vyšší vek;</w:t>
      </w:r>
    </w:p>
    <w:p w14:paraId="0090EFB5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tmavšia pigmentácia kože;</w:t>
      </w:r>
    </w:p>
    <w:p w14:paraId="5348ACAC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obezita – 25(OH)D býva nižší, potreba sa môže líšiť;</w:t>
      </w:r>
    </w:p>
    <w:p w14:paraId="26152BFD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proofErr w:type="spellStart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malabsorpcia</w:t>
      </w:r>
      <w:proofErr w:type="spellEnd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 xml:space="preserve"> tukov, celiakia, IBD, </w:t>
      </w:r>
      <w:proofErr w:type="spellStart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bariatrická</w:t>
      </w:r>
      <w:proofErr w:type="spellEnd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 xml:space="preserve"> chirurgia;</w:t>
      </w:r>
    </w:p>
    <w:p w14:paraId="15453E43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chronické ochorenie pečene alebo obličiek – manažment patrí lekárovi.</w:t>
      </w:r>
    </w:p>
    <w:p w14:paraId="1C725068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Laboratórne vyšetrenie</w:t>
      </w:r>
    </w:p>
    <w:p w14:paraId="688364DE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Na posúdenie stavu používame 25(OH)D, nie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kalcitriol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. Interpretácia závisí od laboratória a klinického kontextu; plošné testovanie každého zdravého človeka nie je nevyhnutné. Vyšetrenie je oveľa užitočnejšie pri rizikových pacientoch, podozrení na deficit,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osteomalácii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, poruchách absorpcie alebo pred liečbou vysokými dávkami.</w:t>
      </w:r>
    </w:p>
    <w:p w14:paraId="13C1969B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Dávkovanie</w:t>
      </w:r>
    </w:p>
    <w:p w14:paraId="04BB78C0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EFSA stanovila pre dospelých vrátane tehotných a dojčiacich žien adekvátny príjem 15 mikrogramov denne (600 IU) pri minimálnej kožnej syntéze. V klinickej praxi sa bežná preventívna suplementácia dospelých často pohybuje v ráde 800–2 000 IU denne podľa veku, ročného obdobia, stravy, expozície slnku a rizika. Liečba laboratórne potvrdeného deficitu môže vyžadovať vyššie dávky, ale to už nie je totožné s bežným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samoliečením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491C21C6" w14:textId="77777777">
        <w:tc>
          <w:tcPr>
            <w:tcW w:w="9858" w:type="dxa"/>
            <w:shd w:val="clear" w:color="auto" w:fill="EAF2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141952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Prepočet</w:t>
            </w: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1 mikrogram vitamínu D = 40 IU. 25 mikrogramov = 1 000 IU; 50 mikrogramov = 2 000 IU; 100 mikrogramov = 4 000 IU.</w:t>
            </w:r>
          </w:p>
        </w:tc>
      </w:tr>
    </w:tbl>
    <w:p w14:paraId="5748919A" w14:textId="77777777" w:rsidR="00DB2F09" w:rsidRPr="00DB2F09" w:rsidRDefault="00DB2F09" w:rsidP="00DB2F09">
      <w:pPr>
        <w:rPr>
          <w:rFonts w:ascii="Times New Roman" w:eastAsia="Times New Roman" w:hAnsi="Times New Roman" w:cs="Times New Roman"/>
          <w:vanish/>
          <w:kern w:val="0"/>
          <w:lang w:eastAsia="sk-SK"/>
          <w14:ligatures w14:val="none"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1ABF90E7" w14:textId="77777777">
        <w:tc>
          <w:tcPr>
            <w:tcW w:w="9858" w:type="dxa"/>
            <w:shd w:val="clear" w:color="auto" w:fill="FDE9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06B7A2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Bezpečnostný limit</w:t>
            </w: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EFSA uvádza pre dospelých horný tolerovateľný príjem 100 mikrogramov/deň, teda 4 000 IU/deň, pri chronickom príjme zo všetkých zdrojov. UL nie je cieľová ani automaticky odporúčaná denná dávka.</w:t>
            </w:r>
          </w:p>
        </w:tc>
      </w:tr>
    </w:tbl>
    <w:p w14:paraId="4226B999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Ako užívať</w:t>
      </w:r>
    </w:p>
    <w:p w14:paraId="62AAE797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Vitamín D sa môže užívať s jedlom; prítomnosť tuku absorpciu zlepšuje, ale čas dňa nie je rozhodujúci. Pri dennej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suplementácii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je dôležitejšia pravidelnosť než ranné alebo večerné podanie. Pri pacientoch s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malabsorpciou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alebo po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bariatrickej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operácii treba individualizovať postup.</w:t>
      </w:r>
    </w:p>
    <w:p w14:paraId="518370DC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D + vápnik + K2</w:t>
      </w:r>
    </w:p>
    <w:p w14:paraId="3A8D7C11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Nie každý pacient s vitamínom D automaticky potrebuje doplnok vápnika alebo K2. Vápnik sa posudzuje podľa príjmu potravou a diagnózy. Vitamín K má biologickú úlohu v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karboxylácii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osteokalcínu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, ale rutinné tvrdenie, že každý užívateľ D3 musí súčasne užívať K2, nie je podložené univerzálnym klinickým odporúčaním. Pri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antagoniste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vitamínu K môže pridanie K2 zásadne meniť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antikoagulačný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účinok.</w:t>
      </w:r>
    </w:p>
    <w:p w14:paraId="60DD7157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Toxicita</w:t>
      </w:r>
    </w:p>
    <w:p w14:paraId="2A51F64A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Toxicita vitamínu D je dôsledkom nadmernej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suplementácie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, nie bežného slnečného žiarenia. Vedie k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hyperkalciémii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 môže sa prejaviť nauzeou, vracaním, slabosťou,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polyúriou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, smädom,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nefrolitiázou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, poškodením obličiek a pri ťažkých stavoch arytmiami či kalcifikáciami.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4730C3DA" w14:textId="77777777">
        <w:tc>
          <w:tcPr>
            <w:tcW w:w="9858" w:type="dxa"/>
            <w:shd w:val="clear" w:color="auto" w:fill="FDE9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624D00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Kedy lekár</w:t>
            </w: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Veľmi nízky 25(OH)D, chronické ochorenie obličiek,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hyperkalciémia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,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sarkoidóza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/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granulomatózne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ochorenie, opakované obličkové kamene, podozrenie na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malabsorpciu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, dieťa s príznakmi rachitídy alebo pacient užívajúci dlhodobo vysoké dávky.</w:t>
            </w:r>
          </w:p>
        </w:tc>
      </w:tr>
    </w:tbl>
    <w:p w14:paraId="34D66DA5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Ako vysvetliť pacientovi výsledok 25(OH)D</w:t>
      </w:r>
    </w:p>
    <w:p w14:paraId="2139188D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25(OH)D je zásobný/cirkulujúci marker, nie „aktívny vitamín D“. EFSA pri stanovovaní AI považovala 50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nmol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/l za vhodnú cieľovú koncentráciu pre populáciu. Klinické laboratóriá a odborné spoločnosti však môžu používať odlišné kategórie deficitu 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insuficiencie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; pri veľmi nízkej hodnote preto dávku neurčujeme iba podľa všeobecnej tabuľky. [EFSA DRV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Vitamin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D]</w:t>
      </w:r>
    </w:p>
    <w:p w14:paraId="266FA93F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Denné verzus nárazové dávkovanie</w:t>
      </w:r>
    </w:p>
    <w:p w14:paraId="24BCAF6E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Pre bežnú dlhodobú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suplementáciu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je praktické pravidelné denné alebo týždenné podávanie v ekvivalentnej dávke podľa konkrétneho produktu. Veľké nárazové bolusy v dlhých intervaloch nie sú pre zdravého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samoliečiaceho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sa pacienta automaticky výhodnejšie a v niektorých </w:t>
      </w: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lastRenderedPageBreak/>
        <w:t>populáciách boli spojené s nepriaznivými výsledkami. Pri liečebných režimoch sa riadime odporúčaním lekára a konkrétnym liekom.</w:t>
      </w:r>
    </w:p>
    <w:p w14:paraId="75A2C4C2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Interakcie a situácie vyžadujúce opatrnosť</w:t>
      </w:r>
    </w:p>
    <w:p w14:paraId="0063305B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Opatrnosť je potrebná pri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hyperkalciémii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, primárnej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hyperparatyreóze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,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granulomatóznych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ochoreniach, závažnom ochorení obličiek a pri súbežnom vysokom príjme vápnika. Niektoré antiepileptiká a glukokortikoidy ovplyvňujú metabolizmus vitamínu D. Pri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tiazidových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diuretikách môže kombinácia s vysokými dávkami D a vápnika zvýšiť riziko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hyperkalciémie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32D31DF2" w14:textId="77777777">
        <w:tc>
          <w:tcPr>
            <w:tcW w:w="9746" w:type="dxa"/>
            <w:shd w:val="clear" w:color="auto" w:fill="EAF2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42B97E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Praktické minimum</w:t>
            </w: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Ak pacient povie „mám vitamín D 18“, vždy si vyžiadajte jednotky. 18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ng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/ml a 18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nmol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/l nie je rovnaký výsledok. 1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ng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/ml = 2,5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nmol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/l.</w:t>
            </w:r>
          </w:p>
        </w:tc>
      </w:tr>
    </w:tbl>
    <w:p w14:paraId="6830A8D9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Zdroje ku kapitole: EFSA DRV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Vitamin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D; EFSA 2023 UL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Vitamin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D; NIH ODS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Vitamin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D – Health Professional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Fact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Sheet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</w:t>
      </w:r>
    </w:p>
    <w:p w14:paraId="3B486B3D" w14:textId="77777777" w:rsidR="00C3065C" w:rsidRDefault="00C3065C" w:rsidP="00DB2F09">
      <w:pPr>
        <w:rPr>
          <w:rFonts w:ascii="Calibri" w:eastAsia="Times New Roman" w:hAnsi="Calibri" w:cs="Calibri"/>
          <w:b/>
          <w:bCs/>
          <w:color w:val="365F91"/>
          <w:kern w:val="0"/>
          <w:sz w:val="28"/>
          <w:szCs w:val="28"/>
          <w:lang w:eastAsia="sk-SK"/>
          <w14:ligatures w14:val="none"/>
        </w:rPr>
      </w:pPr>
    </w:p>
    <w:p w14:paraId="2DCA882A" w14:textId="41001592" w:rsidR="00DB2F09" w:rsidRPr="00C3065C" w:rsidRDefault="00DB2F09" w:rsidP="00DB2F09">
      <w:pPr>
        <w:rPr>
          <w:rFonts w:ascii="Aptos" w:eastAsia="Times New Roman" w:hAnsi="Aptos" w:cs="Times New Roman"/>
          <w:color w:val="EE0000"/>
          <w:kern w:val="0"/>
          <w:lang w:eastAsia="sk-SK"/>
          <w14:ligatures w14:val="none"/>
        </w:rPr>
      </w:pPr>
      <w:r w:rsidRPr="00C3065C">
        <w:rPr>
          <w:rFonts w:ascii="Calibri" w:eastAsia="Times New Roman" w:hAnsi="Calibri" w:cs="Calibri"/>
          <w:b/>
          <w:bCs/>
          <w:color w:val="EE0000"/>
          <w:kern w:val="0"/>
          <w:sz w:val="28"/>
          <w:szCs w:val="28"/>
          <w:lang w:eastAsia="sk-SK"/>
          <w14:ligatures w14:val="none"/>
        </w:rPr>
        <w:t>4. Vitamín E</w:t>
      </w:r>
    </w:p>
    <w:p w14:paraId="4DD68C59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Vitamín E označuje skupinu tokoferolov 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tokotrienolov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; z nutričného hľadiska je najvýznamnejší alfa-tokoferol. Ide o vitamín rozpustný v tukoch s antioxidačnou funkciou v biologických membránach.</w:t>
      </w:r>
    </w:p>
    <w:p w14:paraId="3AD30B0C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Deficit je u zdravých ľudí zriedkavý. Môže sa objaviť pri genetických poruchách transportu vitamínu E a pri ťažkej chronickej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malabsorpcii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tukov. Klinicky môže dominovať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neuromuskulárne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 neurologické postihnutie.</w:t>
      </w:r>
    </w:p>
    <w:p w14:paraId="4D5BA798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Suplementácia</w:t>
      </w:r>
    </w:p>
    <w:p w14:paraId="5039630F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Bežný zdravý človek nepotrebuje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vysokodávkový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vitamín E len preto, že ide o antioxidant. Klinické štúdie nepodporujú predstavu, že vysoké dávky antioxidantov všeobecne prinášajú lineárne viac zdravotného prospechu.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689A5415" w14:textId="77777777">
        <w:tc>
          <w:tcPr>
            <w:tcW w:w="9858" w:type="dxa"/>
            <w:shd w:val="clear" w:color="auto" w:fill="FDE9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9A256B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Pozor</w:t>
            </w: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Vyššie dávky vitamínu E môžu zvyšovať sklon ku krvácaniu, najmä pri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antikoagulačnej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alebo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antiagregačnej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liečbe. Pri pacientovi s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warfarínom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,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acenokumarolom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, DOAC alebo kombinovanou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antiagregačnou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liečbou vždy preveriť dôvod a dávku doplnku.</w:t>
            </w:r>
          </w:p>
        </w:tc>
      </w:tr>
    </w:tbl>
    <w:p w14:paraId="03989E25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Formy a jednotky</w:t>
      </w:r>
    </w:p>
    <w:p w14:paraId="10F7B63B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Na etiketách sa môžeme stretnúť s prírodným RRR-α-tokoferolom a syntetickým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all-rac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-α-tokoferolom. Biologická aktivita sa historicky uvádzala aj v IU, preto pri starších produktoch nemožno mechanicky zamieňať mg a IU bez znalosti formy. V európskych referenčných hodnotách sa pracuje s mg α-tokoferolu.</w:t>
      </w:r>
    </w:p>
    <w:p w14:paraId="0A169F2C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 xml:space="preserve">Kedy </w:t>
      </w:r>
      <w:proofErr w:type="spellStart"/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vysokodávkový</w:t>
      </w:r>
      <w:proofErr w:type="spellEnd"/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 xml:space="preserve"> antioxidant neodporúčať</w:t>
      </w:r>
    </w:p>
    <w:p w14:paraId="20E51522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Vysoké dávky vitamínu E sa neodporúčajú rutinne na „ochranu srdca“ alebo prevenciu rakoviny. Pri pacientovi na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antikoagulanciu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alebo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antiagregačnej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liečbe je dôležité zachytiť vysoké dávky E v kombinovaných antioxidačných produktoch.</w:t>
      </w:r>
    </w:p>
    <w:p w14:paraId="0F686B08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Zdroje ku kapitole: EFSA DRV/UL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Vitamin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E; NIH ODS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Vitamin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E – Health Professional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Fact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Sheet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</w:t>
      </w:r>
    </w:p>
    <w:p w14:paraId="0DBB9920" w14:textId="77777777" w:rsidR="00C3065C" w:rsidRDefault="00C3065C" w:rsidP="00DB2F09">
      <w:pPr>
        <w:rPr>
          <w:rFonts w:ascii="Calibri" w:eastAsia="Times New Roman" w:hAnsi="Calibri" w:cs="Calibri"/>
          <w:b/>
          <w:bCs/>
          <w:color w:val="365F91"/>
          <w:kern w:val="0"/>
          <w:sz w:val="28"/>
          <w:szCs w:val="28"/>
          <w:lang w:eastAsia="sk-SK"/>
          <w14:ligatures w14:val="none"/>
        </w:rPr>
      </w:pPr>
    </w:p>
    <w:p w14:paraId="33DED5CB" w14:textId="6446DDE5" w:rsidR="00DB2F09" w:rsidRPr="00C3065C" w:rsidRDefault="00DB2F09" w:rsidP="00DB2F09">
      <w:pPr>
        <w:rPr>
          <w:rFonts w:ascii="Aptos" w:eastAsia="Times New Roman" w:hAnsi="Aptos" w:cs="Times New Roman"/>
          <w:color w:val="EE0000"/>
          <w:kern w:val="0"/>
          <w:lang w:eastAsia="sk-SK"/>
          <w14:ligatures w14:val="none"/>
        </w:rPr>
      </w:pPr>
      <w:r w:rsidRPr="00C3065C">
        <w:rPr>
          <w:rFonts w:ascii="Calibri" w:eastAsia="Times New Roman" w:hAnsi="Calibri" w:cs="Calibri"/>
          <w:b/>
          <w:bCs/>
          <w:color w:val="EE0000"/>
          <w:kern w:val="0"/>
          <w:sz w:val="28"/>
          <w:szCs w:val="28"/>
          <w:lang w:eastAsia="sk-SK"/>
          <w14:ligatures w14:val="none"/>
        </w:rPr>
        <w:t>5. Vitamín K</w:t>
      </w:r>
    </w:p>
    <w:p w14:paraId="06BC95F4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Vitamín K je kofaktor enzýmu potrebného na gama-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karboxyláciu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viacerých proteínov. Patrí sem koagulačný systém,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osteokalcín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matrix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Gla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proteín. K1 –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fylochinón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– pochádza najmä zo zelenej listovej zeleniny. K2 je skupina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menachinónov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, medzi doplnkami najmä MK-7 a MK-4.</w:t>
      </w:r>
    </w:p>
    <w:p w14:paraId="0BD176E1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 xml:space="preserve">Krvná zrážanlivosť a </w:t>
      </w:r>
      <w:proofErr w:type="spellStart"/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antagonisty</w:t>
      </w:r>
      <w:proofErr w:type="spellEnd"/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 xml:space="preserve"> vitamínu K</w:t>
      </w:r>
    </w:p>
    <w:p w14:paraId="7DCA42EB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Warfarín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,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acenokumarol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fenprokumón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antagonizujú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vitamín K. Pacient na tejto liečbe nemá „vynechať zeleninu“. Kľúčový je stabilný, približne konzistentný príjem vitamínu K. Náhle nasadenie alebo vysadenie koncentrovaného doplnku K1/K2 môže zmeniť INR 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antikoagulačný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efekt.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75A3E53D" w14:textId="77777777">
        <w:tc>
          <w:tcPr>
            <w:tcW w:w="9858" w:type="dxa"/>
            <w:shd w:val="clear" w:color="auto" w:fill="FDE9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761F84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 xml:space="preserve">Pri </w:t>
            </w:r>
            <w:proofErr w:type="spellStart"/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táre</w:t>
            </w:r>
            <w:proofErr w:type="spellEnd"/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Pri každom produkte D3 + K2 sa spýtať na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antikoagulanciá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. Ak pacient užíva antagonistu vitamínu K, doplnok K2 bez koordinácie s lekárom/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antikoagulačnou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ambulanciou neodporúčame.</w:t>
            </w:r>
          </w:p>
        </w:tc>
      </w:tr>
    </w:tbl>
    <w:p w14:paraId="2B9E50A5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lastRenderedPageBreak/>
        <w:t xml:space="preserve">U zdravých dospelých je klinicky významný deficit vitamínu K zriedkavý. Riziko rastie pri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malabsorpcii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tukov,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cholestáze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 niektorých komplexných klinických stavoch.</w:t>
      </w:r>
    </w:p>
    <w:p w14:paraId="73888A9A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Pre vitamín K sa vzhľadom na nízky toxický potenciál nestanovil klasický UL. To však nijako neruší jeho zásadnú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farmakodynamickú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interakciu s antagonistami vitamínu K.</w:t>
      </w:r>
    </w:p>
    <w:p w14:paraId="583A2CC8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K1, K2 a čo z toho vyplýva pre predaj</w:t>
      </w:r>
    </w:p>
    <w:p w14:paraId="4AD4D1A4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EFSA stanovila AI pre vitamín K na základe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fylochinónu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K1.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Menachinóny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K2 majú odlišné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farmakokinetické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vlastnosti, ale z toho nemožno automaticky odvodiť, že MK-7 je klinicky potrebný ku každému vitamínu D alebo že vyššia dávka je vždy lepšia. Pri osteoporóze sa držíme diagnostiky a štandardnej liečby; K2 nie je náhradou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antiosteoporotickej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terapie.</w:t>
      </w:r>
    </w:p>
    <w:p w14:paraId="617B6A60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Pri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antagoniste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vitamínu K je najbezpečnejšia konzistentnosť príjmu. Neodporúčame extrémne obmedzovanie listovej zeleniny – nebezpečné sú najmä náhle zmeny stravy alebo koncentrované doplnky bez kontroly INR.</w:t>
      </w:r>
    </w:p>
    <w:p w14:paraId="56ACD0FF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Zdroje ku kapitole: EFSA DRV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Vitamin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K; NIH ODS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Vitamin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K – Health Professional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Fact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Sheet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; SPC konkrétneho antagonistu vitamínu K.</w:t>
      </w:r>
    </w:p>
    <w:p w14:paraId="76CB4F08" w14:textId="77777777" w:rsidR="00C3065C" w:rsidRDefault="00C3065C" w:rsidP="00DB2F09">
      <w:pPr>
        <w:rPr>
          <w:rFonts w:ascii="Calibri" w:eastAsia="Times New Roman" w:hAnsi="Calibri" w:cs="Calibri"/>
          <w:b/>
          <w:bCs/>
          <w:color w:val="365F91"/>
          <w:kern w:val="0"/>
          <w:sz w:val="28"/>
          <w:szCs w:val="28"/>
          <w:lang w:eastAsia="sk-SK"/>
          <w14:ligatures w14:val="none"/>
        </w:rPr>
      </w:pPr>
    </w:p>
    <w:p w14:paraId="3EDAA499" w14:textId="70A3D420" w:rsidR="00DB2F09" w:rsidRPr="00C3065C" w:rsidRDefault="00DB2F09" w:rsidP="00DB2F09">
      <w:pPr>
        <w:rPr>
          <w:rFonts w:ascii="Aptos" w:eastAsia="Times New Roman" w:hAnsi="Aptos" w:cs="Times New Roman"/>
          <w:color w:val="EE0000"/>
          <w:kern w:val="0"/>
          <w:lang w:eastAsia="sk-SK"/>
          <w14:ligatures w14:val="none"/>
        </w:rPr>
      </w:pPr>
      <w:r w:rsidRPr="00C3065C">
        <w:rPr>
          <w:rFonts w:ascii="Calibri" w:eastAsia="Times New Roman" w:hAnsi="Calibri" w:cs="Calibri"/>
          <w:b/>
          <w:bCs/>
          <w:color w:val="EE0000"/>
          <w:kern w:val="0"/>
          <w:sz w:val="28"/>
          <w:szCs w:val="28"/>
          <w:lang w:eastAsia="sk-SK"/>
          <w14:ligatures w14:val="none"/>
        </w:rPr>
        <w:t>6. Vitamín C</w:t>
      </w:r>
    </w:p>
    <w:p w14:paraId="64E952E1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Vitamín C – kyselina L-askorbová – je vo vode rozpustný esenciálny vitamín. Je kofaktorom enzýmov potrebných na syntézu kolagénu, karnitínu a niektorých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neurotransmiterov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, pôsobí ako antioxidant a zvyšuje absorpciu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nehemového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železa.</w:t>
      </w:r>
    </w:p>
    <w:p w14:paraId="661D5EA6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Zdroje a deficit</w:t>
      </w:r>
    </w:p>
    <w:p w14:paraId="0FC4E923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Najlepšími zdrojmi sú ovocie a zelenina. Nedostatok vedie ku skorbutu. Prvé prejavy sú nešpecifické – únava, malátnosť – neskôr sa pridávajú krvácavé ďasná,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petechie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, porucha hojenia rán,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ekchymózy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, bolesti kĺbov a typické zmeny vlasov. Rizikoví sú ľudia s veľmi obmedzeným jedálničkom, ťažkou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malnutríciou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, niektorými poruchami príjmu potravy 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malabsorpciou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</w:t>
      </w:r>
    </w:p>
    <w:p w14:paraId="1030AD99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Fajčiari</w:t>
      </w:r>
    </w:p>
    <w:p w14:paraId="36807DCE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Fajčenie zvyšuje oxidačný stres a je spojené s nižšími koncentráciami vitamínu C. Americké DRI uvádzajú pre fajčiarov potrebu približne o 35 mg/deň vyššiu; v praxi je dôležité zároveň zdôrazniť, že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suplement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nie je kompenzáciou škodlivého účinku fajčenia.</w:t>
      </w:r>
    </w:p>
    <w:p w14:paraId="7A671CA7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Absorpcia a dávka</w:t>
      </w:r>
    </w:p>
    <w:p w14:paraId="60C3242F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Pri bežných dávkach 30–180 mg/deň sa absorbuje približne 70–90 %. Pri dávkach nad 1 g absorpcia klesá pod 50 % a väčšia časť sa vylúči močom. Preto nie je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farmakokineticky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pravdivé, že 2–3 gramy per os prinesú niekoľkonásobne vyššiu tkanivovú dostupnosť než stovky miligramov.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4D20EE44" w14:textId="77777777">
        <w:tc>
          <w:tcPr>
            <w:tcW w:w="9858" w:type="dxa"/>
            <w:shd w:val="clear" w:color="auto" w:fill="EAF2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50001B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Praktická dávka</w:t>
            </w: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Na bežné doplnenie stravy často postačia desiatky až niekoľko stoviek mg/deň. Gramové dávky nie sú potrebné na pokrytie fyziologickej potreby a častejšie spôsobujú gastrointestinálne ťažkosti.</w:t>
            </w:r>
          </w:p>
        </w:tc>
      </w:tr>
    </w:tbl>
    <w:p w14:paraId="0361741C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Vitamín C a prechladnutie</w:t>
      </w:r>
    </w:p>
    <w:p w14:paraId="4CAFFBA3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Pravidelná suplementácia vitamínu C v bežnej populácii neznižuje zásadne výskyt prechladnutí, ale v štúdiách môže mierne skrátiť ich trvanie a zmierniť priebeh. U osôb vystavených krátkodobej extrémnej fyzickej záťaži sa pozoroval väčší preventívny efekt. Začatie vysokých dávok až po vzniku symptómov nemá konzistentne preukázaný výrazný účinok.</w:t>
      </w:r>
    </w:p>
    <w:p w14:paraId="16556F2A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Vitamín C a železo</w:t>
      </w:r>
    </w:p>
    <w:p w14:paraId="669654A7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Vitamín C zvyšuje absorpciu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nehemového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železa redukciou Fe3+ na lepšie absorbovateľné Fe2+ a tvorbou rozpustných komplexov. Pri perorálnom železe môže byť vhodný najmä pri rastlinnej strave alebo jedle s inhibítormi absorpcie. Nie je však potrebné ku každej tablete železa automaticky pridávať vysokú dávku vitamínu C.</w:t>
      </w:r>
    </w:p>
    <w:p w14:paraId="303A85ED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Formy</w:t>
      </w:r>
    </w:p>
    <w:p w14:paraId="5030A738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Kyselina askorbová má porovnateľnú biologickú dostupnosť s vitamínom C prirodzene prítomným v potravinách. Minerálne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askorbáty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môžu byť lepšie tolerované u niektorých pacientov pre nižšiu kyslosť, ale nie sú všeobecne preukázane účinnejšie.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13F07C93" w14:textId="77777777">
        <w:tc>
          <w:tcPr>
            <w:tcW w:w="9858" w:type="dxa"/>
            <w:shd w:val="clear" w:color="auto" w:fill="FDE9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8BEC2D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lastRenderedPageBreak/>
              <w:t>Pozor</w:t>
            </w: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Pri vysokých dávkach sa môže objaviť hnačka, nauzea a kŕče. Opatrnosť pri anamnéze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oxalátových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kameňov, ťažšom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renálnom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ochorení a stavoch s nadmerným ukladaním železa.</w:t>
            </w:r>
          </w:p>
        </w:tc>
      </w:tr>
    </w:tbl>
    <w:p w14:paraId="0BE7E168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Suplementácia pri infekciách – ako hovoriť presne</w:t>
      </w:r>
    </w:p>
    <w:p w14:paraId="59BF09A1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Vitamín C prispieva k normálnej funkcii imunitného systému, ale toto fyziologické tvrdenie nie je synonymom prevencie alebo liečby vírusovej infekcie. Pri prechladnutí je efekt pravidelnej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suplementácie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skôr mierny a týka sa najmä dĺžky/trvania symptómov;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vysokodávkové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nasadenie až po začiatku ochorenia nemá konzistentný dramatický účinok. [NIH ODS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Vitamin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C; ODS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Immune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Function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]</w:t>
      </w:r>
    </w:p>
    <w:p w14:paraId="10E13DD5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 xml:space="preserve">Kyselina askorbová, </w:t>
      </w:r>
      <w:proofErr w:type="spellStart"/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askorbáty</w:t>
      </w:r>
      <w:proofErr w:type="spellEnd"/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 xml:space="preserve"> a „</w:t>
      </w:r>
      <w:proofErr w:type="spellStart"/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lipozomálny</w:t>
      </w:r>
      <w:proofErr w:type="spellEnd"/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“ vitamín C</w:t>
      </w:r>
    </w:p>
    <w:p w14:paraId="2C0DCDC7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Bežná kyselina askorbová je dobre absorbovaná a z pohľadu pokrytia potreby je štandardnou formou. Minerálne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askorbáty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môžu byť praktické u pacientov, ktorým kyslá forma subjektívne dráždi žalúdok. Pri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lipozomálnych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produktoch môžu existovať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farmakokinetické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rozdiely, ale pri bežnom nutričnom dopĺňaní nie je dôvod tvrdiť, že klasická kyselina askorbová „nefunguje“.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0452D430" w14:textId="77777777">
        <w:tc>
          <w:tcPr>
            <w:tcW w:w="9746" w:type="dxa"/>
            <w:shd w:val="clear" w:color="auto" w:fill="EEF5E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9C0404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Pre pacienta so železom</w:t>
            </w: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Ak užíva železo nalačno zle toleruje, priorita je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adherencia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. Vitamín C môže podporiť absorpciu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nehemového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železa, ale netreba nútiť pacienta do gramových dávok ani do režimu, ktorý vedie k vysadeniu železa.</w:t>
            </w:r>
          </w:p>
        </w:tc>
      </w:tr>
    </w:tbl>
    <w:p w14:paraId="78A2FAE5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Zdroje ku kapitole: EFSA DRV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Vitamin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C; EFSA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opinion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on UL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Vitamin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C; NIH ODS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Vitamin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C – Health Professional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Fact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Sheet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</w:t>
      </w:r>
    </w:p>
    <w:p w14:paraId="64F8B33E" w14:textId="77777777" w:rsidR="00C3065C" w:rsidRDefault="00C3065C" w:rsidP="00DB2F09">
      <w:pPr>
        <w:rPr>
          <w:rFonts w:ascii="Calibri" w:eastAsia="Times New Roman" w:hAnsi="Calibri" w:cs="Calibri"/>
          <w:b/>
          <w:bCs/>
          <w:color w:val="365F91"/>
          <w:kern w:val="0"/>
          <w:sz w:val="28"/>
          <w:szCs w:val="28"/>
          <w:lang w:eastAsia="sk-SK"/>
          <w14:ligatures w14:val="none"/>
        </w:rPr>
      </w:pPr>
    </w:p>
    <w:p w14:paraId="1F800BA5" w14:textId="204A7F0C" w:rsidR="00DB2F09" w:rsidRPr="00C3065C" w:rsidRDefault="00DB2F09" w:rsidP="00DB2F09">
      <w:pPr>
        <w:rPr>
          <w:rFonts w:ascii="Aptos" w:eastAsia="Times New Roman" w:hAnsi="Aptos" w:cs="Times New Roman"/>
          <w:color w:val="EE0000"/>
          <w:kern w:val="0"/>
          <w:lang w:eastAsia="sk-SK"/>
          <w14:ligatures w14:val="none"/>
        </w:rPr>
      </w:pPr>
      <w:r w:rsidRPr="00C3065C">
        <w:rPr>
          <w:rFonts w:ascii="Calibri" w:eastAsia="Times New Roman" w:hAnsi="Calibri" w:cs="Calibri"/>
          <w:b/>
          <w:bCs/>
          <w:color w:val="EE0000"/>
          <w:kern w:val="0"/>
          <w:sz w:val="28"/>
          <w:szCs w:val="28"/>
          <w:lang w:eastAsia="sk-SK"/>
          <w14:ligatures w14:val="none"/>
        </w:rPr>
        <w:t xml:space="preserve">7. Vitamín B1 – </w:t>
      </w:r>
      <w:proofErr w:type="spellStart"/>
      <w:r w:rsidRPr="00C3065C">
        <w:rPr>
          <w:rFonts w:ascii="Calibri" w:eastAsia="Times New Roman" w:hAnsi="Calibri" w:cs="Calibri"/>
          <w:b/>
          <w:bCs/>
          <w:color w:val="EE0000"/>
          <w:kern w:val="0"/>
          <w:sz w:val="28"/>
          <w:szCs w:val="28"/>
          <w:lang w:eastAsia="sk-SK"/>
          <w14:ligatures w14:val="none"/>
        </w:rPr>
        <w:t>tiamín</w:t>
      </w:r>
      <w:proofErr w:type="spellEnd"/>
    </w:p>
    <w:p w14:paraId="0E4B745D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Tiamín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je súčasťou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tiamíndifosfátu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, kofaktora enzýmov metabolizmu sacharidov a vetvených aminokyselín. Zásoby v tele sú malé a vitamín má krátky biologický polčas, preto je potrebný pravidelný príjem.</w:t>
      </w:r>
    </w:p>
    <w:p w14:paraId="7FBBC8D5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Kto je rizikový</w:t>
      </w:r>
    </w:p>
    <w:p w14:paraId="6214844B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chronické nadmerné užívanie alkoholu;</w:t>
      </w:r>
    </w:p>
    <w:p w14:paraId="48242742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 xml:space="preserve">ťažká </w:t>
      </w:r>
      <w:proofErr w:type="spellStart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malnutrícia</w:t>
      </w:r>
      <w:proofErr w:type="spellEnd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 xml:space="preserve"> alebo dlhodobé hladovanie;</w:t>
      </w:r>
    </w:p>
    <w:p w14:paraId="2E02EC0A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 xml:space="preserve">opakované vracanie vrátane </w:t>
      </w:r>
      <w:proofErr w:type="spellStart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hyperemesis</w:t>
      </w:r>
      <w:proofErr w:type="spellEnd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 xml:space="preserve"> </w:t>
      </w:r>
      <w:proofErr w:type="spellStart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gravidarum</w:t>
      </w:r>
      <w:proofErr w:type="spellEnd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;</w:t>
      </w:r>
    </w:p>
    <w:p w14:paraId="41260609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proofErr w:type="spellStart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bariatrická</w:t>
      </w:r>
      <w:proofErr w:type="spellEnd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 xml:space="preserve"> chirurgia;</w:t>
      </w:r>
    </w:p>
    <w:p w14:paraId="6AC26F45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niektoré stavy so zvýšenými stratami alebo potrebou.</w:t>
      </w:r>
    </w:p>
    <w:p w14:paraId="40338867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Deficit môže viesť k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beriberi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 pri alkoholovej závislosti alebo ťažkej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malnutrícii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k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Wernickeho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encefalopatii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. Typická triáda poruchy vedomia,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ataxie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okulomotorických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príznakov nemusí byť kompletná.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11423779" w14:textId="77777777">
        <w:tc>
          <w:tcPr>
            <w:tcW w:w="9858" w:type="dxa"/>
            <w:shd w:val="clear" w:color="auto" w:fill="FDE9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04A532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proofErr w:type="spellStart"/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Red</w:t>
            </w:r>
            <w:proofErr w:type="spellEnd"/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 xml:space="preserve"> </w:t>
            </w:r>
            <w:proofErr w:type="spellStart"/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flag</w:t>
            </w:r>
            <w:proofErr w:type="spellEnd"/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Zmätenosť,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ataxia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, porucha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okohybných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pohybov, výrazná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malnutrícia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alebo dlhodobé vracanie nie sú situáciou na predaj B-komplexu. Pacient potrebuje urgentné medicínske posúdenie; pri podozrení na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Wernickeho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encefalopatiu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sa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tiamín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podáva parenterálne podľa klinického protokolu.</w:t>
            </w:r>
          </w:p>
        </w:tc>
      </w:tr>
    </w:tbl>
    <w:p w14:paraId="3456DB4C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Pri bežnej strave je deficit zriedkavý.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Tiamín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nemá stanovený UL pre perorálny príjem pre nedostatok dôkazov o toxicite pri bežnom používaní, čo však nie je argument pre zbytočné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megadávky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</w:t>
      </w:r>
    </w:p>
    <w:p w14:paraId="0327D13F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Praktická suplementácia</w:t>
      </w:r>
    </w:p>
    <w:p w14:paraId="2993212D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Pri bežnom nedostatočnom príjme je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tiamín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súčasťou B-komplexov v nízkych dávkach. Pri riziku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Wernickeho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encefalopatie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však perorálny multivitamín nie je adekvátnou „poistkou“ – ide o urgentný stav, pri ktorom sa používa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parenterálny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tiamín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podľa nemocničného protokolu. Pri dlhodobom vracaní po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bariatrickom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výkone je prah pre odoslanie veľmi nízky.</w:t>
      </w:r>
    </w:p>
    <w:p w14:paraId="0C6C732D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Alkohol a glukóza</w:t>
      </w:r>
    </w:p>
    <w:p w14:paraId="378B35D4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U ťažko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malnutričného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pacienta s chronickým alkoholom je deficit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tiamínu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klinicky významný. Tradičné pravidlo „najprv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tiamín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, potom glukóza“ nemá byť dôvodom odkladať život zachraňujúcu liečbu hypoglykémie; v urgentnej starostlivosti sa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tiamín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podáva čo najskôr spolu s potrebnou liečbou.</w:t>
      </w:r>
    </w:p>
    <w:p w14:paraId="729CCD7F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Zdroje ku kapitole: EFSA DRV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Thiamin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; NIH ODS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Thiamin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– Health Professional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Fact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Sheet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; klinické protokoly pre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Wernickeho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encefalopatiu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</w:t>
      </w:r>
    </w:p>
    <w:p w14:paraId="2F2AFAF4" w14:textId="77777777" w:rsidR="00C3065C" w:rsidRDefault="00C3065C" w:rsidP="00DB2F09">
      <w:pPr>
        <w:rPr>
          <w:rFonts w:ascii="Calibri" w:eastAsia="Times New Roman" w:hAnsi="Calibri" w:cs="Calibri"/>
          <w:b/>
          <w:bCs/>
          <w:color w:val="365F91"/>
          <w:kern w:val="0"/>
          <w:sz w:val="28"/>
          <w:szCs w:val="28"/>
          <w:lang w:eastAsia="sk-SK"/>
          <w14:ligatures w14:val="none"/>
        </w:rPr>
      </w:pPr>
    </w:p>
    <w:p w14:paraId="048465EB" w14:textId="34014118" w:rsidR="00DB2F09" w:rsidRPr="00C3065C" w:rsidRDefault="00DB2F09" w:rsidP="00DB2F09">
      <w:pPr>
        <w:rPr>
          <w:rFonts w:ascii="Aptos" w:eastAsia="Times New Roman" w:hAnsi="Aptos" w:cs="Times New Roman"/>
          <w:color w:val="EE0000"/>
          <w:kern w:val="0"/>
          <w:lang w:eastAsia="sk-SK"/>
          <w14:ligatures w14:val="none"/>
        </w:rPr>
      </w:pPr>
      <w:r w:rsidRPr="00C3065C">
        <w:rPr>
          <w:rFonts w:ascii="Calibri" w:eastAsia="Times New Roman" w:hAnsi="Calibri" w:cs="Calibri"/>
          <w:b/>
          <w:bCs/>
          <w:color w:val="EE0000"/>
          <w:kern w:val="0"/>
          <w:sz w:val="28"/>
          <w:szCs w:val="28"/>
          <w:lang w:eastAsia="sk-SK"/>
          <w14:ligatures w14:val="none"/>
        </w:rPr>
        <w:lastRenderedPageBreak/>
        <w:t xml:space="preserve">8. Vitamín B2 – </w:t>
      </w:r>
      <w:proofErr w:type="spellStart"/>
      <w:r w:rsidRPr="00C3065C">
        <w:rPr>
          <w:rFonts w:ascii="Calibri" w:eastAsia="Times New Roman" w:hAnsi="Calibri" w:cs="Calibri"/>
          <w:b/>
          <w:bCs/>
          <w:color w:val="EE0000"/>
          <w:kern w:val="0"/>
          <w:sz w:val="28"/>
          <w:szCs w:val="28"/>
          <w:lang w:eastAsia="sk-SK"/>
          <w14:ligatures w14:val="none"/>
        </w:rPr>
        <w:t>riboflavín</w:t>
      </w:r>
      <w:proofErr w:type="spellEnd"/>
    </w:p>
    <w:p w14:paraId="6646A7AF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Riboflavín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je prekurzorom FMN a FAD, koenzýmov podieľajúcich sa na energetickom metabolizme,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redoxných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reakciách, metabolizme liekov a aktivácii ďalších vitamínov skupiny B.</w:t>
      </w:r>
    </w:p>
    <w:p w14:paraId="3F9BD112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Deficit sa môže prejaviť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angulárnou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cheilitídou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,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stomatitídou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,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glossitídou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,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seboroickou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dermatitídou a anémiou, ale tieto príznaky nie sú špecifické len pre B2.</w:t>
      </w:r>
    </w:p>
    <w:p w14:paraId="57B079FA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proofErr w:type="spellStart"/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Riboflavín</w:t>
      </w:r>
      <w:proofErr w:type="spellEnd"/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 xml:space="preserve"> a migréna</w:t>
      </w:r>
    </w:p>
    <w:p w14:paraId="28444EE1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Riboflavín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je zaujímavý aj mimo klasickej nutričnej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suplementácie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 Niektoré odborné odporúčania a klinické štúdie používajú pri profylaxii migrény u dospelých vysoké dávky okolo 400 mg/deň. Ide však o špecifické použitie výrazne nad fyziologickou potrebou, ktoré nemožno zamieňať s liečbou deficitu. Pri opakovanej alebo novej silnej bolesti hlavy patrí pacient na diagnostiku.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1CC8E41F" w14:textId="77777777">
        <w:tc>
          <w:tcPr>
            <w:tcW w:w="9858" w:type="dxa"/>
            <w:shd w:val="clear" w:color="auto" w:fill="EEF5E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92C628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 xml:space="preserve">Pri </w:t>
            </w:r>
            <w:proofErr w:type="spellStart"/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táre</w:t>
            </w:r>
            <w:proofErr w:type="spellEnd"/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Jasne žlté sfarbenie moču po B-komplexe je pri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riboflavíne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očakávané a neškodné. Nie je to dôkaz, že sa „všetky vitamíny len vylúčili“.</w:t>
            </w:r>
          </w:p>
        </w:tc>
      </w:tr>
    </w:tbl>
    <w:p w14:paraId="61E428D7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Kedy má suplementácia zmysel</w:t>
      </w:r>
    </w:p>
    <w:p w14:paraId="08FFA710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Riboflavínový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deficit býva často súčasťou celkovej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malnutrície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alebo viacerých deficitov skupiny B. Popraskané kútiky úst preto nie sú diagnózou „nedostatku B2“ – rovnaký obraz môže súvisieť so železom, kandidózou, kontaktnou dermatitídou alebo mechanickým dráždením.</w:t>
      </w:r>
    </w:p>
    <w:p w14:paraId="52B8B3F4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Pri migréne sa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riboflavín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používa v niektorých profylaktických režimoch vo vysokých dávkach. Magistra má zdôrazniť, že ide o preventívne, nie akútne analgetické použitie a efekt sa hodnotí po týždňoch až mesiacoch. Pri novej, nezvyčajnej alebo neurologicky sprevádzanej bolesti hlavy je potrebná diagnostika.</w:t>
      </w:r>
    </w:p>
    <w:p w14:paraId="12DC78C0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Zdroje ku kapitole: EFSA DRV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Riboflavin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; NIH ODS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Riboflavin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– Health Professional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Fact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Sheet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</w:t>
      </w:r>
    </w:p>
    <w:p w14:paraId="1A2D9739" w14:textId="77777777" w:rsidR="00C3065C" w:rsidRDefault="00C3065C" w:rsidP="00DB2F09">
      <w:pPr>
        <w:rPr>
          <w:rFonts w:ascii="Calibri" w:eastAsia="Times New Roman" w:hAnsi="Calibri" w:cs="Calibri"/>
          <w:b/>
          <w:bCs/>
          <w:color w:val="365F91"/>
          <w:kern w:val="0"/>
          <w:sz w:val="28"/>
          <w:szCs w:val="28"/>
          <w:lang w:eastAsia="sk-SK"/>
          <w14:ligatures w14:val="none"/>
        </w:rPr>
      </w:pPr>
    </w:p>
    <w:p w14:paraId="2F1120D0" w14:textId="1EEA3630" w:rsidR="00DB2F09" w:rsidRPr="00C3065C" w:rsidRDefault="00DB2F09" w:rsidP="00DB2F09">
      <w:pPr>
        <w:rPr>
          <w:rFonts w:ascii="Aptos" w:eastAsia="Times New Roman" w:hAnsi="Aptos" w:cs="Times New Roman"/>
          <w:color w:val="EE0000"/>
          <w:kern w:val="0"/>
          <w:lang w:eastAsia="sk-SK"/>
          <w14:ligatures w14:val="none"/>
        </w:rPr>
      </w:pPr>
      <w:r w:rsidRPr="00C3065C">
        <w:rPr>
          <w:rFonts w:ascii="Calibri" w:eastAsia="Times New Roman" w:hAnsi="Calibri" w:cs="Calibri"/>
          <w:b/>
          <w:bCs/>
          <w:color w:val="EE0000"/>
          <w:kern w:val="0"/>
          <w:sz w:val="28"/>
          <w:szCs w:val="28"/>
          <w:lang w:eastAsia="sk-SK"/>
          <w14:ligatures w14:val="none"/>
        </w:rPr>
        <w:t>9. Vitamín B3 – niacín</w:t>
      </w:r>
    </w:p>
    <w:p w14:paraId="3F2494D8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Niacín zahŕňa kyselinu nikotínovú 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nikotínamid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. Je prekurzorom NAD a NADP, ktoré sú zásadné pre stovky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redoxných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 metabolických reakcií. Časť potreby organizmus pokrýva konverziou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tryptofánu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</w:t>
      </w:r>
    </w:p>
    <w:p w14:paraId="796EEEAB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Ťažký deficit vedie k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pelagre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, tradične opisovanej ako dermatitída, hnačka, demencia a pri neliečení smrť.</w:t>
      </w:r>
    </w:p>
    <w:p w14:paraId="2FC70BE9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proofErr w:type="spellStart"/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Nikotínamid</w:t>
      </w:r>
      <w:proofErr w:type="spellEnd"/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 xml:space="preserve"> verzus kyselina nikotínová</w:t>
      </w:r>
    </w:p>
    <w:p w14:paraId="0220B1CE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Tieto formy nie sú pri vysokých dávkach klinicky zameniteľné. Kyselina nikotínová spôsobuje typický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flushing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– vazodilatáciu s návalom tepla, začervenaním, svrbením alebo pálením.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Nikotínamid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flushing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v porovnateľnej miere nespôsobuje, ale veľmi vysoké dávky tiež nie sú bez rizika.</w:t>
      </w:r>
    </w:p>
    <w:p w14:paraId="3B51DC3D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Farmakologické dávky</w:t>
      </w:r>
    </w:p>
    <w:p w14:paraId="4E7AF70A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Gramové dávky kyseliny nikotínovej sa historicky používali na ovplyvnenie lipidov. Moderné údaje neukazujú významný kardiovaskulárny prínos pridania niacínu k účinnej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statínovej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liečbe, zatiaľ čo nežiaduce účinky rastú. Vysoké dávky môžu poškodiť pečeň, zhoršiť glykémiu, vyvolať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hyperurikémiu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 gastrointestinálne ťažkosti.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4066B825" w14:textId="77777777">
        <w:tc>
          <w:tcPr>
            <w:tcW w:w="9858" w:type="dxa"/>
            <w:shd w:val="clear" w:color="auto" w:fill="FDE9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64142C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Pozor</w:t>
            </w: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Produkt s 500–1 000 mg niacínu už nie je „len silnejší B-komplex“. Overiť formu, dávku, dôvod použitia, pečeňové ochorenie, diabetes a lieky.</w:t>
            </w:r>
          </w:p>
        </w:tc>
      </w:tr>
    </w:tbl>
    <w:p w14:paraId="3FB34D51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Dávka rozhoduje o tom, či ide o vitamín alebo farmakologický zásah</w:t>
      </w:r>
    </w:p>
    <w:p w14:paraId="5CA9E927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Referenčná potreba niacínu sa vyjadruje ako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niacínové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ekvivalenty na energetický príjem. Doplnky s desiatkami až stovkami miligramov preto nie sú iba „trochu silnejšie“. EFSA stanovila odlišné horné limity pre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nikotínamid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 nikotínovú kyselinu pre rozdielny profil nežiaducich účinkov.</w:t>
      </w:r>
    </w:p>
    <w:p w14:paraId="7D625701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Pri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flushingu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vysvetlíme pacientovi mechanizmus vazodilatácie, ale zároveň nesmieme bagatelizovať vysokú dávku. „No-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flush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niacin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“ môže obsahovať formy, ktoré nemajú rovnaký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lipidový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účinok ako kyselina nikotínová.</w:t>
      </w:r>
    </w:p>
    <w:p w14:paraId="40B0B966" w14:textId="77777777" w:rsidR="00DB2F09" w:rsidRDefault="00DB2F09" w:rsidP="00DB2F09">
      <w:pPr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Zdroje ku kapitole: EFSA DRV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Niacin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; SCF/EFSA UL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Niacin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; NIH ODS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Niacin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– Health Professional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Fact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Sheet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</w:t>
      </w:r>
    </w:p>
    <w:p w14:paraId="785730F8" w14:textId="77777777" w:rsidR="00C3065C" w:rsidRPr="00DB2F09" w:rsidRDefault="00C3065C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</w:p>
    <w:p w14:paraId="56C55771" w14:textId="77777777" w:rsidR="00DB2F09" w:rsidRPr="00C3065C" w:rsidRDefault="00DB2F09" w:rsidP="00DB2F09">
      <w:pPr>
        <w:rPr>
          <w:rFonts w:ascii="Aptos" w:eastAsia="Times New Roman" w:hAnsi="Aptos" w:cs="Times New Roman"/>
          <w:color w:val="EE0000"/>
          <w:kern w:val="0"/>
          <w:lang w:eastAsia="sk-SK"/>
          <w14:ligatures w14:val="none"/>
        </w:rPr>
      </w:pPr>
      <w:r w:rsidRPr="00C3065C">
        <w:rPr>
          <w:rFonts w:ascii="Calibri" w:eastAsia="Times New Roman" w:hAnsi="Calibri" w:cs="Calibri"/>
          <w:b/>
          <w:bCs/>
          <w:color w:val="EE0000"/>
          <w:kern w:val="0"/>
          <w:sz w:val="28"/>
          <w:szCs w:val="28"/>
          <w:lang w:eastAsia="sk-SK"/>
          <w14:ligatures w14:val="none"/>
        </w:rPr>
        <w:t>10. Vitamín B5 – kyselina pantoténová</w:t>
      </w:r>
    </w:p>
    <w:p w14:paraId="6BB87EA3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Kyselina pantoténová je súčasťou koenzýmu 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a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acyl-carrier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proteínu, preto je nevyhnutná pre metabolizmus mastných kyselín a množstvo anabolických 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katabolických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reakcií. V potravinách je široko rozšírená – odtiaľ aj názov odvodený od gréckeho '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pantothen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', teda 'zo všetkých strán'.</w:t>
      </w:r>
    </w:p>
    <w:p w14:paraId="1FDF2555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Klinický deficit je veľmi zriedkavý a zvyčajne sa vyskytuje len pri ťažkej celkovej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malnutrícii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 Samostatná rutinná suplementácia B5 preto u väčšiny ľudí nemá jasný dôvod.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1D2C0750" w14:textId="77777777">
        <w:tc>
          <w:tcPr>
            <w:tcW w:w="9858" w:type="dxa"/>
            <w:shd w:val="clear" w:color="auto" w:fill="EEF5E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A7F9EE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Marketing verzus evidencia</w:t>
            </w: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Pantoténová kyselina sa často nachádza v prípravkoch na vlasy, pleť alebo 'stres'. Pri odporúčaní treba rozlišovať povolené nutričné tvrdenia od tvrdenia, že vysoká dávka lieči akné, vypadávanie vlasov alebo stres – takéto závery z bežnej nutričnej úlohy vitamínu nevyplývajú.</w:t>
            </w:r>
          </w:p>
        </w:tc>
      </w:tr>
    </w:tbl>
    <w:p w14:paraId="3D215876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Čo má magistra vedieť navyše</w:t>
      </w:r>
    </w:p>
    <w:p w14:paraId="434B7CE3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EFSA stanovila pre dospelých AI 5 mg/deň, pretože dôkazy neumožnili stanoviť AR/PRI a bežný európsky príjem je pri zmiešanej strave spojený s absenciou deficitu.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Vysokodávková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B5 sa často objavuje v produktoch na pleť a vlasy, ale klinický účinok na akné alebo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alopéciu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nemožno odvodzovať z jej úlohy v koenzýme A.</w:t>
      </w:r>
    </w:p>
    <w:p w14:paraId="4202D806" w14:textId="77777777" w:rsidR="00DB2F09" w:rsidRDefault="00DB2F09" w:rsidP="00DB2F09">
      <w:pPr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Zdroje ku kapitole: EFSA DRV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Pantothenic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acid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; NIH ODS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Pantothenic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Acid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– Health Professional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Fact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Sheet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</w:t>
      </w:r>
    </w:p>
    <w:p w14:paraId="15AC52D0" w14:textId="77777777" w:rsidR="00C3065C" w:rsidRPr="00DB2F09" w:rsidRDefault="00C3065C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</w:p>
    <w:p w14:paraId="02262391" w14:textId="77777777" w:rsidR="00DB2F09" w:rsidRPr="00C3065C" w:rsidRDefault="00DB2F09" w:rsidP="00DB2F09">
      <w:pPr>
        <w:rPr>
          <w:rFonts w:ascii="Aptos" w:eastAsia="Times New Roman" w:hAnsi="Aptos" w:cs="Times New Roman"/>
          <w:color w:val="EE0000"/>
          <w:kern w:val="0"/>
          <w:lang w:eastAsia="sk-SK"/>
          <w14:ligatures w14:val="none"/>
        </w:rPr>
      </w:pPr>
      <w:r w:rsidRPr="00C3065C">
        <w:rPr>
          <w:rFonts w:ascii="Calibri" w:eastAsia="Times New Roman" w:hAnsi="Calibri" w:cs="Calibri"/>
          <w:b/>
          <w:bCs/>
          <w:color w:val="EE0000"/>
          <w:kern w:val="0"/>
          <w:sz w:val="28"/>
          <w:szCs w:val="28"/>
          <w:lang w:eastAsia="sk-SK"/>
          <w14:ligatures w14:val="none"/>
        </w:rPr>
        <w:t>11. Vitamín B6</w:t>
      </w:r>
    </w:p>
    <w:p w14:paraId="0C2F2CCC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Vitamín B6 zahŕňa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pyridoxín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,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pyridoxal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,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pyridoxamín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 ich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fosforylované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formy. Biologicky aktívny pyridoxal-5'-fosfát (PLP) je kofaktorom viac ako stovky enzýmových reakcií, najmä metabolizmu aminokyselín, syntézy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neurotransmiterov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 hemoglobínu.</w:t>
      </w:r>
    </w:p>
    <w:p w14:paraId="08D64DA8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Deficit</w:t>
      </w:r>
    </w:p>
    <w:p w14:paraId="206DCB57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Izolovaný deficit B6 je pomerne zriedkavý. Môže sa spájať s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malabsorpciou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,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renálnym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ochorením, alkoholom a niektorými liekmi. Prejavy môžu zahŕňať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mikrocytovú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anémiu, dermatitídu,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cheilitídu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,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glossitídu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, depresívne alebo konfúzne príznaky a zníženú imunitnú odpoveď.</w:t>
      </w:r>
    </w:p>
    <w:p w14:paraId="2F1E7E5C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Najdôležitejšie: toxicita</w:t>
      </w:r>
    </w:p>
    <w:p w14:paraId="3FE25362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Vitamín B6 je typický príklad, prečo veta 'vo vode rozpustný vitamín sa vymočí' nie je bezpečnostné pravidlo. Chronicky vysoký príjem môže spôsobiť senzorickú periférnu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neuropatiu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s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parestéziami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, poruchou citlivosti, neistotou chôdze alebo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neuropatickou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bolesťou.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35FBE168" w14:textId="77777777">
        <w:tc>
          <w:tcPr>
            <w:tcW w:w="9858" w:type="dxa"/>
            <w:shd w:val="clear" w:color="auto" w:fill="FDE9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A5A6C6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Aktuálny európsky UL</w:t>
            </w: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EFSA v roku 2023 stanovila pre dospelých, vrátane tehotných a dojčiacich žien, UL približne 12 mg/deň. Pri dlhodobom užívaní treba sčítať B6 zo všetkých doplnkov. Toto je výrazne nižšie než staršie limity, ktoré sa ešte objavujú v niektorých materiáloch.</w:t>
            </w:r>
          </w:p>
        </w:tc>
      </w:tr>
    </w:tbl>
    <w:p w14:paraId="1B0326B4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Liekové interakcie</w:t>
      </w:r>
    </w:p>
    <w:p w14:paraId="62F08BA6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B6 má klinicky významný vzťah napríklad k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levodope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bez inhibítora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dekarboxylázy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: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pyridoxín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môže zvyšovať periférnu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dekarboxyláciu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levodopy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 znižovať jej účinok. Pri modernej kombinácii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levodopa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/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karbidopa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alebo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levodopa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/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benserazid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je tento problém podstatne menší.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Isoniazid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zvyšuje riziko nedostatku B6, preto sa v rizikových skupinách používa profylaktický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pyridoxín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podľa liečebného protokolu.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0E9992B1" w14:textId="77777777">
        <w:tc>
          <w:tcPr>
            <w:tcW w:w="9858" w:type="dxa"/>
            <w:shd w:val="clear" w:color="auto" w:fill="FDE9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2A4B5A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 xml:space="preserve">Pri </w:t>
            </w:r>
            <w:proofErr w:type="spellStart"/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táre</w:t>
            </w:r>
            <w:proofErr w:type="spellEnd"/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Pri pacientovi s mravčením rúk alebo nôh sa nepýtajte len, či potrebuje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B-vitamíny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. Spýtajte sa aj, či už mesiace neužíva B-komplex, magnézium+B6 alebo 'nervový' prípravok. Symptómy môžu byť spôsobené nadbytkom B6.</w:t>
            </w:r>
          </w:p>
        </w:tc>
      </w:tr>
    </w:tbl>
    <w:p w14:paraId="349D3F5B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 xml:space="preserve">P-5-P verzus </w:t>
      </w:r>
      <w:proofErr w:type="spellStart"/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pyridoxín</w:t>
      </w:r>
      <w:proofErr w:type="spellEnd"/>
    </w:p>
    <w:p w14:paraId="0F946299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Pyridoxal-5-fosfát (P-5-P) je aktívna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koenzýmová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forma, ale marketingová veta „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pyridoxín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sa nevie premeniť, preto treba iba P-5-P“ nie je všeobecne správna. Pre bezpečnosť je dôležitejšia celková dávka vitamínu B6 než predstava, že jedna forma umožňuje neobmedzené dávkovanie.</w:t>
      </w:r>
    </w:p>
    <w:p w14:paraId="4A974792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 xml:space="preserve">Ako postupovať pri podozrení na B6 </w:t>
      </w:r>
      <w:proofErr w:type="spellStart"/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neuropatiu</w:t>
      </w:r>
      <w:proofErr w:type="spellEnd"/>
    </w:p>
    <w:p w14:paraId="28A18A86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Zostaviť zoznam všetkých doplnkov, spočítať dennú dávku B6 a zistiť dĺžku užívania. Pri nových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parestéziách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alebo poruche citlivosti odporučiť prerušenie zbytočnej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vysokodávkovej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lastRenderedPageBreak/>
        <w:t>suplementácie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 lekárske vyšetrenie. Pacientovi nevymieňame jednu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vysokodávkovú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formu B6 za inú.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796A6CC0" w14:textId="77777777">
        <w:tc>
          <w:tcPr>
            <w:tcW w:w="9746" w:type="dxa"/>
            <w:shd w:val="clear" w:color="auto" w:fill="FDE9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4C1264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Kľúčová aktualizácia pre školenie</w:t>
            </w: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EFSA stanovila v roku 2023 UL 12 mg/deň pre dospelých. Preto produkty s 20, 50 či 100 mg B6 nie sú vhodné na nekritické dlhodobé denné užívanie bez medicínskeho dôvodu.</w:t>
            </w:r>
          </w:p>
        </w:tc>
      </w:tr>
    </w:tbl>
    <w:p w14:paraId="02DB0D92" w14:textId="77777777" w:rsidR="00DB2F09" w:rsidRDefault="00DB2F09" w:rsidP="00DB2F09">
      <w:pPr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Zdroje ku kapitole: EFSA 2023 UL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Vitamin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B6; EFSA DRV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Vitamin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B6; NIH ODS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Vitamin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B6 – Health Professional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Fact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Sheet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</w:t>
      </w:r>
    </w:p>
    <w:p w14:paraId="6972C4D8" w14:textId="77777777" w:rsidR="00C3065C" w:rsidRPr="00DB2F09" w:rsidRDefault="00C3065C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</w:p>
    <w:p w14:paraId="28A44B45" w14:textId="77777777" w:rsidR="00DB2F09" w:rsidRPr="00C3065C" w:rsidRDefault="00DB2F09" w:rsidP="00DB2F09">
      <w:pPr>
        <w:rPr>
          <w:rFonts w:ascii="Aptos" w:eastAsia="Times New Roman" w:hAnsi="Aptos" w:cs="Times New Roman"/>
          <w:color w:val="EE0000"/>
          <w:kern w:val="0"/>
          <w:lang w:eastAsia="sk-SK"/>
          <w14:ligatures w14:val="none"/>
        </w:rPr>
      </w:pPr>
      <w:r w:rsidRPr="00C3065C">
        <w:rPr>
          <w:rFonts w:ascii="Calibri" w:eastAsia="Times New Roman" w:hAnsi="Calibri" w:cs="Calibri"/>
          <w:b/>
          <w:bCs/>
          <w:color w:val="EE0000"/>
          <w:kern w:val="0"/>
          <w:sz w:val="28"/>
          <w:szCs w:val="28"/>
          <w:lang w:eastAsia="sk-SK"/>
          <w14:ligatures w14:val="none"/>
        </w:rPr>
        <w:t xml:space="preserve">12. Vitamín B7 – </w:t>
      </w:r>
      <w:proofErr w:type="spellStart"/>
      <w:r w:rsidRPr="00C3065C">
        <w:rPr>
          <w:rFonts w:ascii="Calibri" w:eastAsia="Times New Roman" w:hAnsi="Calibri" w:cs="Calibri"/>
          <w:b/>
          <w:bCs/>
          <w:color w:val="EE0000"/>
          <w:kern w:val="0"/>
          <w:sz w:val="28"/>
          <w:szCs w:val="28"/>
          <w:lang w:eastAsia="sk-SK"/>
          <w14:ligatures w14:val="none"/>
        </w:rPr>
        <w:t>biotín</w:t>
      </w:r>
      <w:proofErr w:type="spellEnd"/>
    </w:p>
    <w:p w14:paraId="41E85682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Biotín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je kofaktor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karboxyláz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v metabolizme mastných kyselín, glukózy a aminokyselín. Klinický deficit je vzácny; môže sa objaviť pri genetickom deficite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biotinidázy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, dlhodobej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parenterálnej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výžive bez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biotínu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, pri niektorých antiepileptikách alebo pri extrémnej konzumácii surových vaječných bielkov obsahujúcich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avidín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</w:t>
      </w:r>
    </w:p>
    <w:p w14:paraId="094B8BCD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Vlasy a nechty</w:t>
      </w:r>
    </w:p>
    <w:p w14:paraId="323EF165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Biotín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je masívne propagovaný na vlasy a nechty. Pri skutočnom deficite má substitúcia zmysel. U zdravých ľudí bez deficitu sú dôkazy pre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vysokodávkovú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suplementáciu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pri bežnom vypadávaní vlasov alebo lámavosti nechtov slabé. Vypadávanie vlasov má množstvo iných príčin – železo, štítna žľaza,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androgenetická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alopécia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, stresová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telogénna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effluvium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, lieky a ďalšie.</w:t>
      </w:r>
    </w:p>
    <w:p w14:paraId="33BF72D4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Laboratórna interferencia – kľúčová téma</w:t>
      </w:r>
    </w:p>
    <w:p w14:paraId="52A4FF43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Vysoké dávky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biotínu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môžu interferovať s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imunochemickými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testami založenými na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streptavidín-biotínovej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technológii. Výsledky môžu byť falošne vysoké alebo falošne nízke podľa typu testu. Osobitne závažná je možná interferencia s troponínom, ale ovplyvnené môžu byť aj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tyreoidálne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hormóny, PTH, niektoré steroidné hormóny a iné parametre.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50223DD1" w14:textId="77777777">
        <w:tc>
          <w:tcPr>
            <w:tcW w:w="9858" w:type="dxa"/>
            <w:shd w:val="clear" w:color="auto" w:fill="FDE9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E19BC9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Čo povedať pacientovi</w:t>
            </w: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Ak užíva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vysokodávkový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biotín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a ide na krvné testy, musí o tom informovať lekára a laboratórium. Dĺžka potrebného vysadenia závisí od dávky a konkrétnej laboratórnej metódy – nevymýšľame univerzálne číslo pre všetky testy.</w:t>
            </w:r>
          </w:p>
        </w:tc>
      </w:tr>
    </w:tbl>
    <w:p w14:paraId="4CAA65EC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Dávky v produktoch na vlasy</w:t>
      </w:r>
    </w:p>
    <w:p w14:paraId="4014F742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Referenčný AI pre dospelého je 40 µg/deň, zatiaľ čo „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hair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&amp;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nails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“ produkty často obsahujú miligramové dávky, teda desiatky až stovky násobkov potreby. Toxicita samotného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biotínu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nie je hlavným praktickým problémom; problémom je laboratórna interferencia a falošný pocit, že sa vyriešila príčina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alopécie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</w:t>
      </w:r>
    </w:p>
    <w:p w14:paraId="7F5E87B9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Čo konkrétne môže laboratórium skresliť</w:t>
      </w:r>
    </w:p>
    <w:p w14:paraId="6889C1DC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Biotín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môže pri niektorých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imunotestoch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viesť k falošne nízkym alebo vysokým výsledkom. FDA osobitne upozorňuje na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troponínové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testy; popísané sú aj interferencie s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tyreoidálnymi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testami a ďalšími hormónmi. Bez znalosti platformy laboratória nemožno stanoviť jednu univerzálnu dobu vysadenia pre každého.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120117E8" w14:textId="77777777">
        <w:tc>
          <w:tcPr>
            <w:tcW w:w="9746" w:type="dxa"/>
            <w:shd w:val="clear" w:color="auto" w:fill="EAF2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DF064B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Tára – jedna otázka navyše</w:t>
            </w: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Pacientka si kupuje 5–10 mg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biotínu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denne? Spýtajte sa, či nemá naplánované odbery. Táto jednoduchá otázka môže byť klinicky dôležitejšia než výber značky.</w:t>
            </w:r>
          </w:p>
        </w:tc>
      </w:tr>
    </w:tbl>
    <w:p w14:paraId="4EFEDCA6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Zdroje ku kapitole: EFSA DRV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Biotin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; FDA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Biotin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Interference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with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Troponin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Lab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Tests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; NIH ODS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Biotin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– Health Professional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Fact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Sheet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</w:t>
      </w:r>
    </w:p>
    <w:p w14:paraId="7571A42A" w14:textId="77777777" w:rsidR="00C3065C" w:rsidRDefault="00C3065C" w:rsidP="00DB2F09">
      <w:pPr>
        <w:rPr>
          <w:rFonts w:ascii="Calibri" w:eastAsia="Times New Roman" w:hAnsi="Calibri" w:cs="Calibri"/>
          <w:b/>
          <w:bCs/>
          <w:color w:val="365F91"/>
          <w:kern w:val="0"/>
          <w:sz w:val="28"/>
          <w:szCs w:val="28"/>
          <w:lang w:eastAsia="sk-SK"/>
          <w14:ligatures w14:val="none"/>
        </w:rPr>
      </w:pPr>
    </w:p>
    <w:p w14:paraId="22639D14" w14:textId="72F67EF6" w:rsidR="00DB2F09" w:rsidRPr="00C3065C" w:rsidRDefault="00DB2F09" w:rsidP="00DB2F09">
      <w:pPr>
        <w:rPr>
          <w:rFonts w:ascii="Aptos" w:eastAsia="Times New Roman" w:hAnsi="Aptos" w:cs="Times New Roman"/>
          <w:color w:val="EE0000"/>
          <w:kern w:val="0"/>
          <w:lang w:eastAsia="sk-SK"/>
          <w14:ligatures w14:val="none"/>
        </w:rPr>
      </w:pPr>
      <w:r w:rsidRPr="00C3065C">
        <w:rPr>
          <w:rFonts w:ascii="Calibri" w:eastAsia="Times New Roman" w:hAnsi="Calibri" w:cs="Calibri"/>
          <w:b/>
          <w:bCs/>
          <w:color w:val="EE0000"/>
          <w:kern w:val="0"/>
          <w:sz w:val="28"/>
          <w:szCs w:val="28"/>
          <w:lang w:eastAsia="sk-SK"/>
          <w14:ligatures w14:val="none"/>
        </w:rPr>
        <w:t xml:space="preserve">13. Vitamín B9 – </w:t>
      </w:r>
      <w:proofErr w:type="spellStart"/>
      <w:r w:rsidRPr="00C3065C">
        <w:rPr>
          <w:rFonts w:ascii="Calibri" w:eastAsia="Times New Roman" w:hAnsi="Calibri" w:cs="Calibri"/>
          <w:b/>
          <w:bCs/>
          <w:color w:val="EE0000"/>
          <w:kern w:val="0"/>
          <w:sz w:val="28"/>
          <w:szCs w:val="28"/>
          <w:lang w:eastAsia="sk-SK"/>
          <w14:ligatures w14:val="none"/>
        </w:rPr>
        <w:t>folát</w:t>
      </w:r>
      <w:proofErr w:type="spellEnd"/>
    </w:p>
    <w:p w14:paraId="628DDAC3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Folát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je všeobecný názov pre prirodzené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foláty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 formy používané v doplnkoch. Kyselina listová je oxidovaná syntetická forma. 5-MTHF je biologicky relevantná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metylovaná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forma a používa sa aj v doplnkoch.</w:t>
      </w:r>
    </w:p>
    <w:p w14:paraId="770E4427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Folát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je potrebný na prenos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jednolíkových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jednotiek, syntézu DNA a RNA, bunkové delenie a metabolizmus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homocysteínu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. Deficit spôsobuje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megaloblastovú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anémiu.</w:t>
      </w:r>
    </w:p>
    <w:p w14:paraId="795979C9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Tehotenstvo</w:t>
      </w:r>
    </w:p>
    <w:p w14:paraId="78A20A54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Najdôležitejším praktickým využitím je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perikoncepčná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suplementácia na zníženie rizika defektov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neurálnej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trubice. Kľúčové je začať pred počatím, pretože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neurálna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trubica sa uzatvára veľmi skoro, často ešte pred potvrdením gravidity.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0D3FC902" w14:textId="77777777">
        <w:tc>
          <w:tcPr>
            <w:tcW w:w="9858" w:type="dxa"/>
            <w:shd w:val="clear" w:color="auto" w:fill="EAF2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733186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lastRenderedPageBreak/>
              <w:t>Prakticky</w:t>
            </w: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Pre bežnú ženu plánujúcu graviditu sa štandardne používa 400 mikrogramov kyseliny listovej denne pred počatím a v prvých týždňoch tehotenstva podľa národných odporúčaní. Vysokorizikové ženy môžu potrebovať výrazne vyššie dávky – tie patria do lekárskeho vedenia.</w:t>
            </w:r>
          </w:p>
        </w:tc>
      </w:tr>
    </w:tbl>
    <w:p w14:paraId="630F17C8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Kedy je žena vysokoriziková</w:t>
      </w:r>
    </w:p>
    <w:p w14:paraId="55104D7D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Vyššie dávky sa môžu odporúčať napríklad pri predchádzajúcom tehotenstve s defektom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neurálnej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trubice, niektorých antiepileptikách,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preexistujúcom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diabete alebo iných špecifických rizikách podľa národných odporúčaní. Pri takýchto situáciách magistra neimprovizuje s dávkou, ale smeruje ženu k lekárovi.</w:t>
      </w:r>
    </w:p>
    <w:p w14:paraId="6D799B95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proofErr w:type="spellStart"/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Folát</w:t>
      </w:r>
      <w:proofErr w:type="spellEnd"/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 xml:space="preserve"> a B12</w:t>
      </w:r>
    </w:p>
    <w:p w14:paraId="6D52A7E6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Vysoký príjem kyseliny listovej môže napraviť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megaloblastovú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anémiu pri deficite B12 bez vyriešenia neurologického poškodenia. Preto pri anémii,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parestéziách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alebo rizikovom seniorovi nie je správne naslepo dlhodobo podávať vysoký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folát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bez zváženia B12.</w:t>
      </w:r>
    </w:p>
    <w:p w14:paraId="17001DAA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MTHFR</w:t>
      </w:r>
    </w:p>
    <w:p w14:paraId="7A7EC704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Bežné polymorfizmy MTHFR môžu ovplyvňovať metabolizmus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folátu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, ale internetové tvrdenie, že každý nositeľ polymorfizmu 'nedokáže spracovať kyselinu listovú', je zjednodušenie. 5-MTHF je použiteľná forma, ale rutinné genetické testovanie MTHFR u zdravej populácie nie je podmienkou bezpečnej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perikoncepčnej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suplementácie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</w:t>
      </w:r>
    </w:p>
    <w:p w14:paraId="6CA5D07F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Interakcie</w:t>
      </w:r>
    </w:p>
    <w:p w14:paraId="303C957E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Folát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má dôležité interakcie s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antifolátmi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 niektorými antiepileptikami. Pri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metotrexáte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závisí význam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folátu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od indikácie a dávkovacieho režimu: v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reumatológii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sa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folát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často cielene pridáva na zníženie toxicity, zatiaľ čo pri onkologických režimoch je manažment odlišný. Dávku vždy viažeme na konkrétny liečebný plán.</w:t>
      </w:r>
    </w:p>
    <w:p w14:paraId="1F3FD845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DFE a prečo čísla na etiketách nie sú vždy priamo porovnateľné</w:t>
      </w:r>
    </w:p>
    <w:p w14:paraId="6F588C35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EFSA používa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dietary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folate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equivalents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(DFE), ktoré zohľadňujú vyššiu biologickú dostupnosť kyseliny listovej pridanej do jedla alebo doplnku. Referenčný príjem 330 µg DFE/deň preto nemožno bez kontextu zamieňať s 330 µg kyseliny listovej v tablete.</w:t>
      </w:r>
    </w:p>
    <w:p w14:paraId="3307AF7C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Kyselina listová verzus 5-MTHF</w:t>
      </w:r>
    </w:p>
    <w:p w14:paraId="48E406FB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5-MTHF je použiteľná forma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folátu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, ale pre prevenciu defektov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neurálnej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trubice je najrozsiahlejší priamy dôkaz 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verejnozdravotné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odporúčanie pre kyselinu listovú. CDC výslovne uvádza, že MTHFR genotyp nie je dôvodom rutinne meniť odporúčanú dávku kyseliny listovej. [CDC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Folic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Acid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–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Facts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for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Clinicians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]</w:t>
      </w:r>
    </w:p>
    <w:p w14:paraId="6EECAA57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Horný limit</w:t>
      </w:r>
    </w:p>
    <w:p w14:paraId="084FBFAC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EFSA stanovila pre dospelých UL 1 000 µg/deň pre kombinovaný príjem autorizovaných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suplementovaných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foriem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folátu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(kyselina listová a určité 5-MTHF soli); prirodzený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folát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v potravinách sa do tohto UL nezapočítava. Dôvodom opatrnosti je najmä riziko súvisiace s nerozpoznaným deficitom B12.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17D842FD" w14:textId="77777777">
        <w:tc>
          <w:tcPr>
            <w:tcW w:w="9746" w:type="dxa"/>
            <w:shd w:val="clear" w:color="auto" w:fill="EEF5E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78EAE5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proofErr w:type="spellStart"/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Perikoncepčná</w:t>
            </w:r>
            <w:proofErr w:type="spellEnd"/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 xml:space="preserve"> prax</w:t>
            </w: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Žene, ktorá môže otehotnieť a plánuje graviditu, odporúčame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folát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ešte pred pozitívnym testom. Pri predchádzajúcom NTD, vybraných antiepileptikách, diabete alebo iných vysokorizikových situáciách dávku určuje lekár.</w:t>
            </w:r>
          </w:p>
        </w:tc>
      </w:tr>
    </w:tbl>
    <w:p w14:paraId="5E8E97AF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Zdroje ku kapitole: EFSA DRV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Folate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; EFSA 2023 UL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Folate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; CDC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Folic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Acid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–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Clinical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Overview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; NIH ODS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Folate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– Health Professional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Fact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Sheet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</w:t>
      </w:r>
    </w:p>
    <w:p w14:paraId="47F4F394" w14:textId="77777777" w:rsidR="00C3065C" w:rsidRDefault="00C3065C" w:rsidP="00DB2F09">
      <w:pPr>
        <w:rPr>
          <w:rFonts w:ascii="Calibri" w:eastAsia="Times New Roman" w:hAnsi="Calibri" w:cs="Calibri"/>
          <w:b/>
          <w:bCs/>
          <w:color w:val="365F91"/>
          <w:kern w:val="0"/>
          <w:sz w:val="28"/>
          <w:szCs w:val="28"/>
          <w:lang w:eastAsia="sk-SK"/>
          <w14:ligatures w14:val="none"/>
        </w:rPr>
      </w:pPr>
    </w:p>
    <w:p w14:paraId="1F5E021F" w14:textId="23B3E8C1" w:rsidR="00DB2F09" w:rsidRPr="00C3065C" w:rsidRDefault="00DB2F09" w:rsidP="00DB2F09">
      <w:pPr>
        <w:rPr>
          <w:rFonts w:ascii="Aptos" w:eastAsia="Times New Roman" w:hAnsi="Aptos" w:cs="Times New Roman"/>
          <w:color w:val="EE0000"/>
          <w:kern w:val="0"/>
          <w:lang w:eastAsia="sk-SK"/>
          <w14:ligatures w14:val="none"/>
        </w:rPr>
      </w:pPr>
      <w:r w:rsidRPr="00C3065C">
        <w:rPr>
          <w:rFonts w:ascii="Calibri" w:eastAsia="Times New Roman" w:hAnsi="Calibri" w:cs="Calibri"/>
          <w:b/>
          <w:bCs/>
          <w:color w:val="EE0000"/>
          <w:kern w:val="0"/>
          <w:sz w:val="28"/>
          <w:szCs w:val="28"/>
          <w:lang w:eastAsia="sk-SK"/>
          <w14:ligatures w14:val="none"/>
        </w:rPr>
        <w:t xml:space="preserve">14. Vitamín B12 – </w:t>
      </w:r>
      <w:proofErr w:type="spellStart"/>
      <w:r w:rsidRPr="00C3065C">
        <w:rPr>
          <w:rFonts w:ascii="Calibri" w:eastAsia="Times New Roman" w:hAnsi="Calibri" w:cs="Calibri"/>
          <w:b/>
          <w:bCs/>
          <w:color w:val="EE0000"/>
          <w:kern w:val="0"/>
          <w:sz w:val="28"/>
          <w:szCs w:val="28"/>
          <w:lang w:eastAsia="sk-SK"/>
          <w14:ligatures w14:val="none"/>
        </w:rPr>
        <w:t>kobalamín</w:t>
      </w:r>
      <w:proofErr w:type="spellEnd"/>
    </w:p>
    <w:p w14:paraId="7484282A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Vitamín B12 je potrebný na syntézu DNA, normálnu krvotvorbu a funkciu centrálneho a periférneho nervového systému.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Metylkobalamín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adenozylkobalamín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sú metabolicky aktívne formy;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kyanokobalamín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hydroxokobalamín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sa v organizme na aktívne formy premieňajú.</w:t>
      </w:r>
    </w:p>
    <w:p w14:paraId="0D05C959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Absorpcia</w:t>
      </w:r>
    </w:p>
    <w:p w14:paraId="320A1900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B12 viazaná na potravinové bielkoviny sa musí v žalúdku uvoľniť pôsobením kyseliny a proteáz. Následne sa po komplexnom procese viaže na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intrinsic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factor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 komplex sa absorbuje v terminálnom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ileu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 Tento mechanizmus vysvetľuje riziko pri atrofickej gastritíde, pernicióznej anémii, po operáciách žalúdka/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ilea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 pri niektorých liekoch.</w:t>
      </w:r>
    </w:p>
    <w:p w14:paraId="486DDB48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lastRenderedPageBreak/>
        <w:t>Rizikové skupiny</w:t>
      </w:r>
    </w:p>
    <w:p w14:paraId="39824188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 xml:space="preserve">vegáni bez pravidelnej </w:t>
      </w:r>
      <w:proofErr w:type="spellStart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suplementácie</w:t>
      </w:r>
      <w:proofErr w:type="spellEnd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 xml:space="preserve"> alebo fortifikovaných potravín;</w:t>
      </w:r>
    </w:p>
    <w:p w14:paraId="5518D938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seniori, najmä s atrofickou gastritídou;</w:t>
      </w:r>
    </w:p>
    <w:p w14:paraId="355218E1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pacienti s pernicióznou anémiou;</w:t>
      </w:r>
    </w:p>
    <w:p w14:paraId="299139EB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 xml:space="preserve">po </w:t>
      </w:r>
      <w:proofErr w:type="spellStart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bariatrických</w:t>
      </w:r>
      <w:proofErr w:type="spellEnd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 xml:space="preserve"> operáciách alebo resekcii terminálneho </w:t>
      </w:r>
      <w:proofErr w:type="spellStart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ilea</w:t>
      </w:r>
      <w:proofErr w:type="spellEnd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;</w:t>
      </w:r>
    </w:p>
    <w:p w14:paraId="4367BF77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 xml:space="preserve">dlhodobá liečba </w:t>
      </w:r>
      <w:proofErr w:type="spellStart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metformínom</w:t>
      </w:r>
      <w:proofErr w:type="spellEnd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;</w:t>
      </w:r>
    </w:p>
    <w:p w14:paraId="7E2922ED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 xml:space="preserve">dlhodobá silná </w:t>
      </w:r>
      <w:proofErr w:type="spellStart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supresia</w:t>
      </w:r>
      <w:proofErr w:type="spellEnd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 xml:space="preserve"> žalúdočnej kyseliny – PPI/H2 </w:t>
      </w:r>
      <w:proofErr w:type="spellStart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blokátory</w:t>
      </w:r>
      <w:proofErr w:type="spellEnd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;</w:t>
      </w:r>
    </w:p>
    <w:p w14:paraId="0B2DD11E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 xml:space="preserve">celiakia, </w:t>
      </w:r>
      <w:proofErr w:type="spellStart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Crohnova</w:t>
      </w:r>
      <w:proofErr w:type="spellEnd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 xml:space="preserve"> choroba a ďalšie </w:t>
      </w:r>
      <w:proofErr w:type="spellStart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malabsorpčné</w:t>
      </w:r>
      <w:proofErr w:type="spellEnd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 xml:space="preserve"> stavy.</w:t>
      </w:r>
    </w:p>
    <w:p w14:paraId="77BC187A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Prejavy</w:t>
      </w:r>
    </w:p>
    <w:p w14:paraId="06040373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Deficit môže spôsobiť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megaloblastovú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anémiu, únavu, bledosť,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glossitídu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palpitácie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. Z lekárenského hľadiska sú zásadné neurologické prejavy: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parestézie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, strata vibračnej citlivosti, porucha rovnováhy,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ataxia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, kognitívne zmeny. Neurologické poškodenie môže vzniknúť aj bez anémie.</w:t>
      </w:r>
    </w:p>
    <w:p w14:paraId="6305014E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Laboratórne vyšetrenie</w:t>
      </w:r>
    </w:p>
    <w:p w14:paraId="521005D2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Základom je sérová/plazmatická B12. Pri hraničných hodnotách môže pomôcť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metylmalonová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kyselina (MMA), ktorá je citlivejším funkčným markerom; stúpa však aj pri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renálnej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insuficiencii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.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Homocysteín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je menej špecifický, pretože ho ovplyvňuje aj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folát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, B6 a funkcia obličiek.</w:t>
      </w:r>
    </w:p>
    <w:p w14:paraId="4BBC2620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Formy a dávky</w:t>
      </w:r>
    </w:p>
    <w:p w14:paraId="0C0F757E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V doplnkoch sa používa najmä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kyanokobalamín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metylkobalamín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. Dôkazy neukazujú, že by bežný pacient musel z princípu používať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metylkobalamín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. Pri vysokých perorálnych dávkach sa malé percento absorbuje pasívnou difúziou aj bez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intrinsic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faktora, čo vysvetľuje, prečo môže byť 1 000–2 000 mikrogramov per os účinných aj pri niektorých deficitoch. Pri ťažkom deficite, významných neurologických príznakoch alebo závažnej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malabsorpcii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sa často preferuje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parenterálny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postup podľa lekára.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506B3B5B" w14:textId="77777777">
        <w:tc>
          <w:tcPr>
            <w:tcW w:w="9858" w:type="dxa"/>
            <w:shd w:val="clear" w:color="auto" w:fill="FDE9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1B0A69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Veľmi dôležité</w:t>
            </w: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Pacient s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parestéziami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, poruchou chôdze, výraznou slabosťou alebo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makrocytovou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anémiou nemá byť mesiace skúšaný na 'silnom B-komplexe'. Treba laboratórnu diagnostiku a pri neurologických príznakoch rýchle lekárske riešenie.</w:t>
            </w:r>
          </w:p>
        </w:tc>
      </w:tr>
    </w:tbl>
    <w:p w14:paraId="3CD0EA66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proofErr w:type="spellStart"/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Metformín</w:t>
      </w:r>
      <w:proofErr w:type="spellEnd"/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 xml:space="preserve"> a PPI</w:t>
      </w:r>
    </w:p>
    <w:p w14:paraId="35BD2AD0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Dlhodobý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metformín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môže znižovať B12 a u rizikových alebo symptomatických pacientov je vhodné na B12 myslieť. Dlhodobá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supresia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kyseliny PPI môže zhoršovať uvoľnenie B12 z potravy; voľná B12 v doplnkoch sa vstrebáva ľahšie. Neznamená to automaticky, že každý pacient na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omeprazole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musí užívať vysokú dávku B12, ale pri dlhodobej liečbe, vyššom veku alebo symptómoch je kontrola rozumná.</w:t>
      </w:r>
    </w:p>
    <w:p w14:paraId="35204CA6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Prečo sú perorálne dávky často stovky až tisíce mikrogramov</w:t>
      </w:r>
    </w:p>
    <w:p w14:paraId="3329430A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Fyziologická potreba dospelého je len niekoľko mikrogramov denne, ale aktívna absorpcia cez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intrinsic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factor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sa pri vyšších dávkach saturuje. Z veľkej perorálnej dávky sa navyše malé percento absorbuje pasívne, preto sa pri niektorých deficitných stavoch používajú 1 000–2 000 µg denne. To nie je dôkaz, že zdravý človek potrebuje tisícnásobok referenčného príjmu.</w:t>
      </w:r>
    </w:p>
    <w:p w14:paraId="50FD9C17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Kedy perorálna suplementácia nestačí ako samoliečba</w:t>
      </w:r>
    </w:p>
    <w:p w14:paraId="2C5A06CF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NICE odporúča voliť spôsob substitúcie podľa príčiny deficitu, symptómov a pravdepodobnosti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malabsorpcie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. Pri autoimunitnej gastritíde/pernicióznej anémii, niektorých operáciách a závažných neurologických príznakoch sa často volí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intramuskulárna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liečba. Pri diétnom deficite môže byť perorálna liečba veľmi účinná. [NICE NG239]</w:t>
      </w:r>
    </w:p>
    <w:p w14:paraId="14C3EE9F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proofErr w:type="spellStart"/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Metformín</w:t>
      </w:r>
      <w:proofErr w:type="spellEnd"/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 xml:space="preserve"> – praktická lieková anamnéza</w:t>
      </w:r>
    </w:p>
    <w:p w14:paraId="3BA5FED0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MHRA považuje zníženie B12 pri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metformíne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za častý nežiaduci účinok a odporúča testovať pacientov so symptómami, napríklad novou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neuropatiou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alebo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megaloblastovou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anémiou, a zvážiť periodické monitorovanie u rizikových pacientov.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Metformín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sa pre tento dôvod svojvoľne nevysádza. [MHRA 2022]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64681A78" w14:textId="77777777">
        <w:tc>
          <w:tcPr>
            <w:tcW w:w="9746" w:type="dxa"/>
            <w:shd w:val="clear" w:color="auto" w:fill="FDE9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2D3C1D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Neurologické príznaky majú prioritu</w:t>
            </w: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Pri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suspektnom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deficite B12 s neurologickými príznakmi sa liečba nemá odkladať len preto, že pacient ešte nemá všetky výsledky. Rozhodnutie patrí lekárovi, ale magistra má riziko rozpoznať a urýchliť vyšetrenie.</w:t>
            </w:r>
          </w:p>
        </w:tc>
      </w:tr>
    </w:tbl>
    <w:p w14:paraId="08CC6A0E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lastRenderedPageBreak/>
        <w:t xml:space="preserve">Zdroje ku kapitole: EFSA DRV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Cobalamin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; NICE NG239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Vitamin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B12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deficiency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; MHRA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Metformin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and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reduced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vitamin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B12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levels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; NIH ODS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Vitamin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B12 – Health Professional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Fact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Sheet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</w:t>
      </w:r>
    </w:p>
    <w:p w14:paraId="4CC40BF0" w14:textId="77777777" w:rsidR="00C3065C" w:rsidRDefault="00C3065C" w:rsidP="00DB2F09">
      <w:pPr>
        <w:rPr>
          <w:rFonts w:ascii="Calibri" w:eastAsia="Times New Roman" w:hAnsi="Calibri" w:cs="Calibri"/>
          <w:b/>
          <w:bCs/>
          <w:color w:val="365F91"/>
          <w:kern w:val="0"/>
          <w:sz w:val="28"/>
          <w:szCs w:val="28"/>
          <w:lang w:eastAsia="sk-SK"/>
          <w14:ligatures w14:val="none"/>
        </w:rPr>
      </w:pPr>
    </w:p>
    <w:p w14:paraId="250D4340" w14:textId="1B3148D6" w:rsidR="00DB2F09" w:rsidRPr="00C3065C" w:rsidRDefault="00DB2F09" w:rsidP="00DB2F09">
      <w:pPr>
        <w:rPr>
          <w:rFonts w:ascii="Aptos" w:eastAsia="Times New Roman" w:hAnsi="Aptos" w:cs="Times New Roman"/>
          <w:color w:val="EE0000"/>
          <w:kern w:val="0"/>
          <w:lang w:eastAsia="sk-SK"/>
          <w14:ligatures w14:val="none"/>
        </w:rPr>
      </w:pPr>
      <w:r w:rsidRPr="00C3065C">
        <w:rPr>
          <w:rFonts w:ascii="Calibri" w:eastAsia="Times New Roman" w:hAnsi="Calibri" w:cs="Calibri"/>
          <w:b/>
          <w:bCs/>
          <w:color w:val="EE0000"/>
          <w:kern w:val="0"/>
          <w:sz w:val="28"/>
          <w:szCs w:val="28"/>
          <w:lang w:eastAsia="sk-SK"/>
          <w14:ligatures w14:val="none"/>
        </w:rPr>
        <w:t>15. Multivitamíny</w:t>
      </w:r>
    </w:p>
    <w:p w14:paraId="08D9AF84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Multivitamín je nástroj, nie poistka proti všetkým chorobám. Najväčší zmysel má tam, kde je zvýšená pravdepodobnosť nedostatočného príjmu viacerých nutrientov: veľmi jednostranná strava, nízky energetický príjem, niektoré diéty, obdobia so zníženým príjmom potravy alebo špecifické životné fázy.</w:t>
      </w:r>
    </w:p>
    <w:p w14:paraId="222F1673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Ako čítať multivitamín</w:t>
      </w:r>
    </w:p>
    <w:p w14:paraId="037CF5CD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1. Skontrolovať dávku každého vitamínu v jednej dennej dávke, nie len v jednej kapsule.</w:t>
      </w:r>
    </w:p>
    <w:p w14:paraId="6BEE598A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2. Porovnať s referenčným príjmom a pri vitamínoch s UL s horným bezpečnostným limitom.</w:t>
      </w:r>
    </w:p>
    <w:p w14:paraId="31EDF972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3. Zistiť, ktoré vitamíny pacient užíva samostatne.</w:t>
      </w:r>
    </w:p>
    <w:p w14:paraId="11875D10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4. Skontrolovať vitamín A pri gravidite/plánovaní gravidity.</w:t>
      </w:r>
    </w:p>
    <w:p w14:paraId="1109EFB4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5. Skontrolovať B6 pri B-komplexoch, magnéziu+B6 a prípravkoch na nervový systém.</w:t>
      </w:r>
    </w:p>
    <w:p w14:paraId="453D8B68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6. Skontrolovať vitamín K pri antagonistoch vitamínu K.</w:t>
      </w:r>
    </w:p>
    <w:p w14:paraId="6519E567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7. Pri vegánovi overiť, či množstvo B12 reálne zodpovedá dlhodobému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suplementačnému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režimu.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04286A2B" w14:textId="77777777">
        <w:tc>
          <w:tcPr>
            <w:tcW w:w="9858" w:type="dxa"/>
            <w:shd w:val="clear" w:color="auto" w:fill="FDE9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828B58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Najčastejšia chyba</w:t>
            </w: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Pacient si vytvorí '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stack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': multivitamín + vitamín D + B-komplex + magnézium B6 + produkt na vlasy. Jednotlivo vyzerajú dávky rozumne, ale súčet môže byť problémový.</w:t>
            </w:r>
          </w:p>
        </w:tc>
      </w:tr>
    </w:tbl>
    <w:p w14:paraId="1D7D93C5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Komu je multivitamín naozaj užitočný</w:t>
      </w:r>
    </w:p>
    <w:p w14:paraId="759A9D1E" w14:textId="1B86F5BA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Multivitamín je praktický, keď je pravdepodobný súčasný nízky príjem viacerých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mikronutrientov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, nie ako univerzálna prevencia chronických ochorení. Pri veľmi dobrej pestrej strave a bez rizikových faktorov môže mať malý pridaný nutričný význam. Naopak pri obmedzenej strave, vysokom veku, rekonvalescencii</w:t>
      </w:r>
      <w:r w:rsidR="00C3065C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, u detí, ľudí</w:t>
      </w: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s nízkym príjmom alebo špecifických diétach môže znižovať riziko medzier v príjme.</w:t>
      </w:r>
    </w:p>
    <w:p w14:paraId="478A7CB6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Ako porovnať dva multivitamíny</w:t>
      </w:r>
    </w:p>
    <w:p w14:paraId="26DF32DA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Nezačíname počtom zložiek. Najprv kontrolujeme dávky v dennej dávke, potom formu vitamínu tam, kde je klinicky významná, až následne pomocné látky a pohodlie užívania. Produkt s 300–500 % referenčného príjmu pri každom B-vitamíne nie je automaticky kvalitnejší než produkt blízko 100 %.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549AFF2D" w14:textId="77777777">
        <w:tc>
          <w:tcPr>
            <w:tcW w:w="9746" w:type="dxa"/>
            <w:shd w:val="clear" w:color="auto" w:fill="EAF2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AE9BC7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Pravidlo pre produktové školenie</w:t>
            </w: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Pri každom produkte si magistra musí vedieť odpovedať na tri otázky: 1. Pre koho je určený? 2. Ktorú reálnu výživovú medzeru rieši? 3. Ktorá zložka môže pri súbehu s iným doplnkom prekročiť bezpečnú dlhodobú dávku?</w:t>
            </w:r>
          </w:p>
        </w:tc>
      </w:tr>
    </w:tbl>
    <w:p w14:paraId="0ACE5284" w14:textId="77777777" w:rsidR="00C3065C" w:rsidRDefault="00C3065C" w:rsidP="00DB2F09">
      <w:pPr>
        <w:rPr>
          <w:rFonts w:ascii="Calibri" w:eastAsia="Times New Roman" w:hAnsi="Calibri" w:cs="Calibri"/>
          <w:b/>
          <w:bCs/>
          <w:color w:val="365F91"/>
          <w:kern w:val="0"/>
          <w:sz w:val="28"/>
          <w:szCs w:val="28"/>
          <w:lang w:eastAsia="sk-SK"/>
          <w14:ligatures w14:val="none"/>
        </w:rPr>
      </w:pPr>
    </w:p>
    <w:p w14:paraId="593C520A" w14:textId="238D9D0A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365F91"/>
          <w:kern w:val="0"/>
          <w:sz w:val="28"/>
          <w:szCs w:val="28"/>
          <w:lang w:eastAsia="sk-SK"/>
          <w14:ligatures w14:val="none"/>
        </w:rPr>
        <w:t>16. Špeciálne skupiny pacientov</w:t>
      </w:r>
    </w:p>
    <w:p w14:paraId="7A242AA9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Deti</w:t>
      </w:r>
    </w:p>
    <w:p w14:paraId="58859E36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U detí sa dávky nedajú mechanicky prepočítať z dospelých podľa telesnej hmotnosti. Používame vekovo špecifické odporúčania a pri liečbe deficitu pediatrické protokoly. Veľmi vysoké dávky vitamínov 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a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D sú pre deti potenciálne toxické. Pri dieťati s neprospievaním, chronickou hnačkou, oneskoreným rastom alebo podozrením na rachitídu patrí riešenie pediatrovi.</w:t>
      </w:r>
    </w:p>
    <w:p w14:paraId="19137162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Tehotenstvo a dojčenie</w:t>
      </w:r>
    </w:p>
    <w:p w14:paraId="19F1886F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V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perikoncepčnom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období je zásadný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folát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. Vitamín D sa odporúča podľa výživových a národných odporúčaní. Vyhýbame sa nadbytku preformovaného vitamínu 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a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nekombinujeme viac prenatálnych/multivitamínových prípravkov bez kontroly dávok. Pri liekoch, epilepsii, diabete alebo predchádzajúcom defekte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neurálnej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trubice sa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folát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riadi individuálnym lekárskym odporúčaním.</w:t>
      </w:r>
    </w:p>
    <w:p w14:paraId="620BB6E8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Seniori</w:t>
      </w:r>
    </w:p>
    <w:p w14:paraId="7674BF0A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Myslíme najmä na vitamín D a B12. Senior môže mať dostatočný príjem B12, ale zhoršenú absorpciu z potravy. Únava,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neuropatia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alebo kognitívne zmeny sa však nesmú automaticky pripisovať vitamínovému deficitu.</w:t>
      </w:r>
    </w:p>
    <w:p w14:paraId="77D1DDE3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lastRenderedPageBreak/>
        <w:t>Vegáni</w:t>
      </w:r>
    </w:p>
    <w:p w14:paraId="493A4606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Vitamín B12 je esenciálna pravidelná suplementácia alebo musí byť spoľahlivo zabezpečený fortifikovanými potravinami.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Spirulina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, fermentované rastliny ani 'prirodzené' rastlinné zdroje nie sú spoľahlivou náhradou biologicky aktívnej B12. Podľa jedálnička a životného štýlu treba venovať pozornosť aj vitamínu D, jódu, železu, vápniku a omega-3; tie však presahujú rámec vitamínových skrípt.</w:t>
      </w:r>
    </w:p>
    <w:p w14:paraId="5B9D380F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proofErr w:type="spellStart"/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Bariatrická</w:t>
      </w:r>
      <w:proofErr w:type="spellEnd"/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 xml:space="preserve"> chirurgia</w:t>
      </w:r>
    </w:p>
    <w:p w14:paraId="397C7629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Po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bariatrickej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operácii sa suplementácia riadi typom výkonu a dlhodobým monitorovaním. Časté sú B12,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folát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,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tiamín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, vitamín D a pri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malabsorpčných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výkonoch aj vitamíny A, E, K. Pacient s opakovaným vracaním po operácii a neurologickými príznakmi je urgentný pre riziko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tiamínového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deficitu.</w:t>
      </w:r>
    </w:p>
    <w:p w14:paraId="76CDCD25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Pacient s ochorením obličiek alebo pečene</w:t>
      </w:r>
    </w:p>
    <w:p w14:paraId="504404DE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Pri pokročilom ochorení obličiek alebo pečene neaplikujeme rutinne všeobecné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suplementačné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pravidlá. Metabolizmus vitamínu D, vylučovanie metabolitov a tolerancia niektorých doplnkov sa môžu meniť. Vysoké dávky a kombinácie s minerálmi patria do koordinácie s ošetrujúcim lekárom.</w:t>
      </w:r>
    </w:p>
    <w:p w14:paraId="5C7B9F39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 xml:space="preserve">Pacient s </w:t>
      </w:r>
      <w:proofErr w:type="spellStart"/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malabsorpciou</w:t>
      </w:r>
      <w:proofErr w:type="spellEnd"/>
    </w:p>
    <w:p w14:paraId="0D98411A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Chronická hnačka,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steatorea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, celiakia,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Crohnova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choroba, pankreatická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insuficiencia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cholestáza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môžu viesť k viacerým deficitom súčasne. V takom prípade má vyššiu hodnotu cielené laboratórne sledovanie a liečba príčiny než náhodné kombinovanie doplnkov.</w:t>
      </w:r>
    </w:p>
    <w:p w14:paraId="4544182B" w14:textId="77777777" w:rsidR="00C3065C" w:rsidRDefault="00C3065C" w:rsidP="00DB2F09">
      <w:pPr>
        <w:rPr>
          <w:rFonts w:ascii="Calibri" w:eastAsia="Times New Roman" w:hAnsi="Calibri" w:cs="Calibri"/>
          <w:b/>
          <w:bCs/>
          <w:color w:val="365F91"/>
          <w:kern w:val="0"/>
          <w:sz w:val="28"/>
          <w:szCs w:val="28"/>
          <w:lang w:eastAsia="sk-SK"/>
          <w14:ligatures w14:val="none"/>
        </w:rPr>
      </w:pPr>
    </w:p>
    <w:p w14:paraId="25062B6F" w14:textId="2840492D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365F91"/>
          <w:kern w:val="0"/>
          <w:sz w:val="28"/>
          <w:szCs w:val="28"/>
          <w:lang w:eastAsia="sk-SK"/>
          <w14:ligatures w14:val="none"/>
        </w:rPr>
        <w:t>17. Vitamíny a lieky – praktický prehľad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2253"/>
        <w:gridCol w:w="2172"/>
        <w:gridCol w:w="2310"/>
        <w:gridCol w:w="2325"/>
      </w:tblGrid>
      <w:tr w:rsidR="00DB2F09" w:rsidRPr="00DB2F09" w14:paraId="1C77037B" w14:textId="77777777">
        <w:tc>
          <w:tcPr>
            <w:tcW w:w="2464" w:type="dxa"/>
            <w:shd w:val="clear" w:color="auto" w:fill="D9EAF7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BD0282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Liek / skupina</w:t>
            </w:r>
          </w:p>
        </w:tc>
        <w:tc>
          <w:tcPr>
            <w:tcW w:w="2464" w:type="dxa"/>
            <w:shd w:val="clear" w:color="auto" w:fill="D9EAF7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16367B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Vitamín</w:t>
            </w:r>
          </w:p>
        </w:tc>
        <w:tc>
          <w:tcPr>
            <w:tcW w:w="2464" w:type="dxa"/>
            <w:shd w:val="clear" w:color="auto" w:fill="D9EAF7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34CCE6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Praktický význam</w:t>
            </w:r>
          </w:p>
        </w:tc>
        <w:tc>
          <w:tcPr>
            <w:tcW w:w="2464" w:type="dxa"/>
            <w:shd w:val="clear" w:color="auto" w:fill="D9EAF7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A56096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Čo urobiť pri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táre</w:t>
            </w:r>
            <w:proofErr w:type="spellEnd"/>
          </w:p>
        </w:tc>
      </w:tr>
      <w:tr w:rsidR="00DB2F09" w:rsidRPr="00DB2F09" w14:paraId="04796CB3" w14:textId="77777777">
        <w:tc>
          <w:tcPr>
            <w:tcW w:w="246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CD46E0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Metformín</w:t>
            </w:r>
            <w:proofErr w:type="spellEnd"/>
          </w:p>
        </w:tc>
        <w:tc>
          <w:tcPr>
            <w:tcW w:w="246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24B3E7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B12</w:t>
            </w:r>
          </w:p>
        </w:tc>
        <w:tc>
          <w:tcPr>
            <w:tcW w:w="246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16650F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Dlhodobá liečba môže znižovať B12.</w:t>
            </w:r>
          </w:p>
        </w:tc>
        <w:tc>
          <w:tcPr>
            <w:tcW w:w="246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2FB682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Pri dlhodobej liečbe a symptómoch myslieť na kontrolu B12.</w:t>
            </w:r>
          </w:p>
        </w:tc>
      </w:tr>
      <w:tr w:rsidR="00DB2F09" w:rsidRPr="00DB2F09" w14:paraId="2EE5C0B2" w14:textId="77777777">
        <w:tc>
          <w:tcPr>
            <w:tcW w:w="246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4BCFD7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PPI / H2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blokátory</w:t>
            </w:r>
            <w:proofErr w:type="spellEnd"/>
          </w:p>
        </w:tc>
        <w:tc>
          <w:tcPr>
            <w:tcW w:w="246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714985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B12</w:t>
            </w:r>
          </w:p>
        </w:tc>
        <w:tc>
          <w:tcPr>
            <w:tcW w:w="246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1E21B2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Znížená kyslosť môže zhoršovať uvoľnenie B12 z potravy.</w:t>
            </w:r>
          </w:p>
        </w:tc>
        <w:tc>
          <w:tcPr>
            <w:tcW w:w="246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FF9436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Riziko rastie s dĺžkou liečby, vekom a ďalšími faktormi.</w:t>
            </w:r>
          </w:p>
        </w:tc>
      </w:tr>
      <w:tr w:rsidR="00DB2F09" w:rsidRPr="00DB2F09" w14:paraId="7658E9A7" w14:textId="77777777">
        <w:tc>
          <w:tcPr>
            <w:tcW w:w="246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1E47DA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Warfarín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/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acenokumarol</w:t>
            </w:r>
            <w:proofErr w:type="spellEnd"/>
          </w:p>
        </w:tc>
        <w:tc>
          <w:tcPr>
            <w:tcW w:w="246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B75236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K</w:t>
            </w:r>
          </w:p>
        </w:tc>
        <w:tc>
          <w:tcPr>
            <w:tcW w:w="246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D99731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Priama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farmakodynamická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interakcia.</w:t>
            </w:r>
          </w:p>
        </w:tc>
        <w:tc>
          <w:tcPr>
            <w:tcW w:w="246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8A07C6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Stabilný príjem; nepridávať K2 bez koordinácie.</w:t>
            </w:r>
          </w:p>
        </w:tc>
      </w:tr>
      <w:tr w:rsidR="00DB2F09" w:rsidRPr="00DB2F09" w14:paraId="2082BA39" w14:textId="77777777">
        <w:tc>
          <w:tcPr>
            <w:tcW w:w="246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08AABF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Orlistat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/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sekvestranty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žlčových kyselín</w:t>
            </w:r>
          </w:p>
        </w:tc>
        <w:tc>
          <w:tcPr>
            <w:tcW w:w="246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8B3DA1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A, D, E, K</w:t>
            </w:r>
          </w:p>
        </w:tc>
        <w:tc>
          <w:tcPr>
            <w:tcW w:w="246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C7ED9B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Môžu znižovať absorpciu vitamínov rozpustných v tukoch.</w:t>
            </w:r>
          </w:p>
        </w:tc>
        <w:tc>
          <w:tcPr>
            <w:tcW w:w="246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F31BEB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Oddelené podanie/monitoring podľa lieku a SPC.</w:t>
            </w:r>
          </w:p>
        </w:tc>
      </w:tr>
      <w:tr w:rsidR="00DB2F09" w:rsidRPr="00DB2F09" w14:paraId="4B5D8D4D" w14:textId="77777777">
        <w:tc>
          <w:tcPr>
            <w:tcW w:w="246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2EEADB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Isoniazid</w:t>
            </w:r>
            <w:proofErr w:type="spellEnd"/>
          </w:p>
        </w:tc>
        <w:tc>
          <w:tcPr>
            <w:tcW w:w="246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F4BEB4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B6</w:t>
            </w:r>
          </w:p>
        </w:tc>
        <w:tc>
          <w:tcPr>
            <w:tcW w:w="246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44F5DB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Môže vyvolať funkčný deficit B6.</w:t>
            </w:r>
          </w:p>
        </w:tc>
        <w:tc>
          <w:tcPr>
            <w:tcW w:w="246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988CC7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Profylaxia podľa rizika a liečebného protokolu.</w:t>
            </w:r>
          </w:p>
        </w:tc>
      </w:tr>
      <w:tr w:rsidR="00DB2F09" w:rsidRPr="00DB2F09" w14:paraId="7F97FD06" w14:textId="77777777">
        <w:tc>
          <w:tcPr>
            <w:tcW w:w="246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02A919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Levodopa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bez inhibítora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dekarboxylázy</w:t>
            </w:r>
            <w:proofErr w:type="spellEnd"/>
          </w:p>
        </w:tc>
        <w:tc>
          <w:tcPr>
            <w:tcW w:w="246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1E1407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B6</w:t>
            </w:r>
          </w:p>
        </w:tc>
        <w:tc>
          <w:tcPr>
            <w:tcW w:w="246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F31242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Pyridoxín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môže znižovať účinok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levodopy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.</w:t>
            </w:r>
          </w:p>
        </w:tc>
        <w:tc>
          <w:tcPr>
            <w:tcW w:w="246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102CEA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Overiť presnú kombináciu lieku.</w:t>
            </w:r>
          </w:p>
        </w:tc>
      </w:tr>
      <w:tr w:rsidR="00DB2F09" w:rsidRPr="00DB2F09" w14:paraId="413F6435" w14:textId="77777777">
        <w:tc>
          <w:tcPr>
            <w:tcW w:w="246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D2BE3A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Metotrexát</w:t>
            </w:r>
            <w:proofErr w:type="spellEnd"/>
          </w:p>
        </w:tc>
        <w:tc>
          <w:tcPr>
            <w:tcW w:w="246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D871E4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Folát</w:t>
            </w:r>
            <w:proofErr w:type="spellEnd"/>
          </w:p>
        </w:tc>
        <w:tc>
          <w:tcPr>
            <w:tcW w:w="246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9601DC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Vzťah závisí od indikácie a režimu.</w:t>
            </w:r>
          </w:p>
        </w:tc>
        <w:tc>
          <w:tcPr>
            <w:tcW w:w="246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D21A15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Folát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iba podľa plánu predpisujúceho lekára.</w:t>
            </w:r>
          </w:p>
        </w:tc>
      </w:tr>
      <w:tr w:rsidR="00DB2F09" w:rsidRPr="00DB2F09" w14:paraId="6547DEA8" w14:textId="77777777">
        <w:tc>
          <w:tcPr>
            <w:tcW w:w="246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F41128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Niektoré antiepileptiká</w:t>
            </w:r>
          </w:p>
        </w:tc>
        <w:tc>
          <w:tcPr>
            <w:tcW w:w="246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430572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D /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folát</w:t>
            </w:r>
            <w:proofErr w:type="spellEnd"/>
          </w:p>
        </w:tc>
        <w:tc>
          <w:tcPr>
            <w:tcW w:w="246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34BF0F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Môžu meniť metabolizmus vitamínov.</w:t>
            </w:r>
          </w:p>
        </w:tc>
        <w:tc>
          <w:tcPr>
            <w:tcW w:w="246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92515C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Pri dlhodobej liečbe preveriť odporúčania lekára.</w:t>
            </w:r>
          </w:p>
        </w:tc>
      </w:tr>
    </w:tbl>
    <w:p w14:paraId="5C3E30E3" w14:textId="77777777" w:rsidR="00C3065C" w:rsidRDefault="00C3065C" w:rsidP="00DB2F09">
      <w:pPr>
        <w:rPr>
          <w:rFonts w:ascii="Calibri" w:eastAsia="Times New Roman" w:hAnsi="Calibri" w:cs="Calibri"/>
          <w:b/>
          <w:bCs/>
          <w:color w:val="365F91"/>
          <w:kern w:val="0"/>
          <w:sz w:val="28"/>
          <w:szCs w:val="28"/>
          <w:lang w:eastAsia="sk-SK"/>
          <w14:ligatures w14:val="none"/>
        </w:rPr>
      </w:pPr>
    </w:p>
    <w:p w14:paraId="1135C1A1" w14:textId="605FF4C6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365F91"/>
          <w:kern w:val="0"/>
          <w:sz w:val="28"/>
          <w:szCs w:val="28"/>
          <w:lang w:eastAsia="sk-SK"/>
          <w14:ligatures w14:val="none"/>
        </w:rPr>
        <w:t xml:space="preserve">18. Najčastejšie situácie pri </w:t>
      </w:r>
      <w:proofErr w:type="spellStart"/>
      <w:r w:rsidRPr="00DB2F09">
        <w:rPr>
          <w:rFonts w:ascii="Calibri" w:eastAsia="Times New Roman" w:hAnsi="Calibri" w:cs="Calibri"/>
          <w:b/>
          <w:bCs/>
          <w:color w:val="365F91"/>
          <w:kern w:val="0"/>
          <w:sz w:val="28"/>
          <w:szCs w:val="28"/>
          <w:lang w:eastAsia="sk-SK"/>
          <w14:ligatures w14:val="none"/>
        </w:rPr>
        <w:t>táre</w:t>
      </w:r>
      <w:proofErr w:type="spellEnd"/>
    </w:p>
    <w:p w14:paraId="56520053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„Som stále unavený.“</w:t>
      </w:r>
    </w:p>
    <w:p w14:paraId="22E34AE5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Pýtať sa na trvanie, spánok, krvácanie/menštruáciu, stravu, chudnutie, infekciu, lieky a chronické ochorenia. Vitamínový deficit je iba jedna z možností. Pri dlhšej nevysvetlenej únave je užitočnejšie odporučiť vyšetrenie krvného obrazu,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ferritínu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, B12/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folátu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, TSH a ďalších parametrov podľa lekára než náhodne pridávať vitamíny.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5DB921FD" w14:textId="77777777">
        <w:tc>
          <w:tcPr>
            <w:tcW w:w="9858" w:type="dxa"/>
            <w:shd w:val="clear" w:color="auto" w:fill="EEF5E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BCE566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Algoritmus</w:t>
            </w: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OTÁZKY → MOŽNÁ PRÍČINA → ČO UŽ UŽÍVA → VHODNÁ SUPLEMENTÁCIA → INTERAKCIE → RED FLAGS → LEKÁR/LABORATÓRIUM</w:t>
            </w:r>
          </w:p>
        </w:tc>
      </w:tr>
    </w:tbl>
    <w:p w14:paraId="2259DFFF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„Padajú mi vlasy.“</w:t>
      </w:r>
    </w:p>
    <w:p w14:paraId="6CF3017E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lastRenderedPageBreak/>
        <w:t xml:space="preserve">Zistiť trvanie, difúzne verzus ložiskové padanie, nedávne ochorenie, pôrod, chudnutie, diéty, lieky.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Biotín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nie je univerzálne riešenie. Často treba myslieť na železo, štítnu žľazu,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androgenetickú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alopéciu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alebo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telogénne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effluvium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5E12A3E7" w14:textId="77777777">
        <w:tc>
          <w:tcPr>
            <w:tcW w:w="9858" w:type="dxa"/>
            <w:shd w:val="clear" w:color="auto" w:fill="EEF5E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8D2008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Algoritmus</w:t>
            </w: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OTÁZKY → MOŽNÁ PRÍČINA → ČO UŽ UŽÍVA → VHODNÁ SUPLEMENTÁCIA → INTERAKCIE → RED FLAGS → LEKÁR/LABORATÓRIUM</w:t>
            </w:r>
          </w:p>
        </w:tc>
      </w:tr>
    </w:tbl>
    <w:p w14:paraId="0C26BC53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„Brnia ma ruky a nohy.“</w:t>
      </w:r>
    </w:p>
    <w:p w14:paraId="451362BE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Zistiť diabetes, alkohol, B12, lieky a zároveň vysoké dávky B6. Progresívne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parestézie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, slabosť alebo porucha chôdze = lekár.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4250EA17" w14:textId="77777777">
        <w:tc>
          <w:tcPr>
            <w:tcW w:w="9858" w:type="dxa"/>
            <w:shd w:val="clear" w:color="auto" w:fill="EEF5E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BFDB68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Algoritmus</w:t>
            </w: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OTÁZKY → MOŽNÁ PRÍČINA → ČO UŽ UŽÍVA → VHODNÁ SUPLEMENTÁCIA → INTERAKCIE → RED FLAGS → LEKÁR/LABORATÓRIUM</w:t>
            </w:r>
          </w:p>
        </w:tc>
      </w:tr>
    </w:tbl>
    <w:p w14:paraId="35314EDF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„Som vegán.“</w:t>
      </w:r>
    </w:p>
    <w:p w14:paraId="3FAB84AC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B12 nie je voliteľná. Overiť reálnu dávku a pravidelnosť. Zvyšok riešiť podľa jedálnička, nie automaticky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megadávkovým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multivitamínom.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4E1FA467" w14:textId="77777777">
        <w:tc>
          <w:tcPr>
            <w:tcW w:w="9858" w:type="dxa"/>
            <w:shd w:val="clear" w:color="auto" w:fill="EEF5E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0D9526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Algoritmus</w:t>
            </w: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OTÁZKY → MOŽNÁ PRÍČINA → ČO UŽ UŽÍVA → VHODNÁ SUPLEMENTÁCIA → INTERAKCIE → RED FLAGS → LEKÁR/LABORATÓRIUM</w:t>
            </w:r>
          </w:p>
        </w:tc>
      </w:tr>
    </w:tbl>
    <w:p w14:paraId="2EF2D5D7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 xml:space="preserve">„Roky užívam </w:t>
      </w:r>
      <w:proofErr w:type="spellStart"/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omeprazol</w:t>
      </w:r>
      <w:proofErr w:type="spellEnd"/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.“</w:t>
      </w:r>
    </w:p>
    <w:p w14:paraId="35026B74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Nevysadzovať liek bez dôvodu. Pri vysokom veku, anémii,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parestéziách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alebo ďalších rizikách myslieť na B12 a odporučiť kontrolu.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2CAA19D1" w14:textId="77777777">
        <w:tc>
          <w:tcPr>
            <w:tcW w:w="9858" w:type="dxa"/>
            <w:shd w:val="clear" w:color="auto" w:fill="EEF5E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E10C85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Algoritmus</w:t>
            </w: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OTÁZKY → MOŽNÁ PRÍČINA → ČO UŽ UŽÍVA → VHODNÁ SUPLEMENTÁCIA → INTERAKCIE → RED FLAGS → LEKÁR/LABORATÓRIUM</w:t>
            </w:r>
          </w:p>
        </w:tc>
      </w:tr>
    </w:tbl>
    <w:p w14:paraId="14AD360E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 xml:space="preserve">„Užívam </w:t>
      </w:r>
      <w:proofErr w:type="spellStart"/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metformín</w:t>
      </w:r>
      <w:proofErr w:type="spellEnd"/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.“</w:t>
      </w:r>
    </w:p>
    <w:p w14:paraId="53FF635E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Dlhodobá liečba je rizikový faktor pre nižšiu B12. Pri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neuropatii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nepredpokladať automaticky diabetickú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neuropatiu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bez zváženia B12.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5213D26F" w14:textId="77777777">
        <w:tc>
          <w:tcPr>
            <w:tcW w:w="9858" w:type="dxa"/>
            <w:shd w:val="clear" w:color="auto" w:fill="EEF5E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93F467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Algoritmus</w:t>
            </w: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OTÁZKY → MOŽNÁ PRÍČINA → ČO UŽ UŽÍVA → VHODNÁ SUPLEMENTÁCIA → INTERAKCIE → RED FLAGS → LEKÁR/LABORATÓRIUM</w:t>
            </w:r>
          </w:p>
        </w:tc>
      </w:tr>
    </w:tbl>
    <w:p w14:paraId="5D7CBCF2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„Plánujem tehotenstvo.“</w:t>
      </w:r>
    </w:p>
    <w:p w14:paraId="15697AD7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Folát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začať pred počatím. Skontrolovať duplicity v prenatálnom multivitamíne a vyhnúť sa nadmernému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retinolu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. Vysokorizikové ženy odoslať na individuálnu dávku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folátu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5B61617B" w14:textId="77777777">
        <w:tc>
          <w:tcPr>
            <w:tcW w:w="9858" w:type="dxa"/>
            <w:shd w:val="clear" w:color="auto" w:fill="EEF5E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9A454D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Algoritmus</w:t>
            </w: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OTÁZKY → MOŽNÁ PRÍČINA → ČO UŽ UŽÍVA → VHODNÁ SUPLEMENTÁCIA → INTERAKCIE → RED FLAGS → LEKÁR/LABORATÓRIUM</w:t>
            </w:r>
          </w:p>
        </w:tc>
      </w:tr>
    </w:tbl>
    <w:p w14:paraId="41E5829A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„Mám nízky vitamín D.“</w:t>
      </w:r>
    </w:p>
    <w:p w14:paraId="1CD01C66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Pýtať sa na konkrétnu hodnotu 25(OH)D, jednotky, dátum a odporúčanie lekára. Nezamieňať preventívnu dávku s liečbou výrazného deficitu.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44CB4F4F" w14:textId="77777777">
        <w:tc>
          <w:tcPr>
            <w:tcW w:w="9858" w:type="dxa"/>
            <w:shd w:val="clear" w:color="auto" w:fill="EEF5E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DE2F59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Algoritmus</w:t>
            </w: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OTÁZKY → MOŽNÁ PRÍČINA → ČO UŽ UŽÍVA → VHODNÁ SUPLEMENTÁCIA → INTERAKCIE → RED FLAGS → LEKÁR/LABORATÓRIUM</w:t>
            </w:r>
          </w:p>
        </w:tc>
      </w:tr>
    </w:tbl>
    <w:p w14:paraId="46AE6BC8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„Chcem niečo na imunitu.“</w:t>
      </w:r>
    </w:p>
    <w:p w14:paraId="2C69A895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Vitamíny podporujú normálnu funkciu imunity pri dostatočnom príjme, ale nie sú všeobecný liek proti infekciám. Hľadať deficit a rizikovú skupinu, nie najvyššiu dávku.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62E17399" w14:textId="77777777">
        <w:tc>
          <w:tcPr>
            <w:tcW w:w="9858" w:type="dxa"/>
            <w:shd w:val="clear" w:color="auto" w:fill="EEF5E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751632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Algoritmus</w:t>
            </w: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OTÁZKY → MOŽNÁ PRÍČINA → ČO UŽ UŽÍVA → VHODNÁ SUPLEMENTÁCIA → INTERAKCIE → RED FLAGS → LEKÁR/LABORATÓRIUM</w:t>
            </w:r>
          </w:p>
        </w:tc>
      </w:tr>
    </w:tbl>
    <w:p w14:paraId="7E1CA2F3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„Chcem vitamíny na nervy.“</w:t>
      </w:r>
    </w:p>
    <w:p w14:paraId="2BA43379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B-vitamíny sú dôležité pre nervový systém, ale vysoké dávky B6 môžu nervy poškodiť. Pri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neuropatii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najprv overiť príčinu a existujúce doplnky.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16B23B45" w14:textId="77777777">
        <w:tc>
          <w:tcPr>
            <w:tcW w:w="9858" w:type="dxa"/>
            <w:shd w:val="clear" w:color="auto" w:fill="EEF5E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5771B6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Algoritmus</w:t>
            </w: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OTÁZKY → MOŽNÁ PRÍČINA → ČO UŽ UŽÍVA → VHODNÁ SUPLEMENTÁCIA → INTERAKCIE → RED FLAGS → LEKÁR/LABORATÓRIUM</w:t>
            </w:r>
          </w:p>
        </w:tc>
      </w:tr>
    </w:tbl>
    <w:p w14:paraId="1696152A" w14:textId="77777777" w:rsidR="00C3065C" w:rsidRDefault="00C3065C" w:rsidP="00DB2F09">
      <w:pPr>
        <w:rPr>
          <w:rFonts w:ascii="Calibri" w:eastAsia="Times New Roman" w:hAnsi="Calibri" w:cs="Calibri"/>
          <w:b/>
          <w:bCs/>
          <w:color w:val="365F91"/>
          <w:kern w:val="0"/>
          <w:sz w:val="28"/>
          <w:szCs w:val="28"/>
          <w:lang w:eastAsia="sk-SK"/>
          <w14:ligatures w14:val="none"/>
        </w:rPr>
      </w:pPr>
    </w:p>
    <w:p w14:paraId="4E988BF9" w14:textId="58E64FF3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365F91"/>
          <w:kern w:val="0"/>
          <w:sz w:val="28"/>
          <w:szCs w:val="28"/>
          <w:lang w:eastAsia="sk-SK"/>
          <w14:ligatures w14:val="none"/>
        </w:rPr>
        <w:t>19. Najčastejšie mýty</w:t>
      </w:r>
    </w:p>
    <w:p w14:paraId="4D3EBB5A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lastRenderedPageBreak/>
        <w:t>„Čím vyššia dávka, tým lepšie.“</w:t>
      </w:r>
    </w:p>
    <w:p w14:paraId="7AA65B1C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Neplatí. Účinok má často saturáciu, zatiaľ čo riziko nežiaducich účinkov rastie.</w:t>
      </w:r>
    </w:p>
    <w:p w14:paraId="5B024532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„Vitamíny rozpustné vo vode sa nedajú predávkovať.“</w:t>
      </w:r>
    </w:p>
    <w:p w14:paraId="01256AF5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Neplatí. B6 je najdôležitejší praktický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protipríklad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; niacín a vysoké dávky C majú ďalšie riziká.</w:t>
      </w:r>
    </w:p>
    <w:p w14:paraId="1384D9AD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„Prírodný vitamín C sa vstrebáva lepšie než kyselina askorbová.“</w:t>
      </w:r>
    </w:p>
    <w:p w14:paraId="6A9F7CD1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Bežná kyselina askorbová má porovnateľnú biologickú dostupnosť s vitamínom C v potravinách.</w:t>
      </w:r>
    </w:p>
    <w:p w14:paraId="03844166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„Každý, kto užíva D3, musí užívať K2.“</w:t>
      </w:r>
    </w:p>
    <w:p w14:paraId="03CD8B4C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Nie. K2 má biologickú úlohu, ale univerzálna povinná kombinácia pre každého užívateľa D3 nie je štandardným klinickým pravidlom.</w:t>
      </w:r>
    </w:p>
    <w:p w14:paraId="7F65A0A5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„</w:t>
      </w:r>
      <w:proofErr w:type="spellStart"/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Biotín</w:t>
      </w:r>
      <w:proofErr w:type="spellEnd"/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 xml:space="preserve"> vyrieši padanie vlasov.“</w:t>
      </w:r>
    </w:p>
    <w:p w14:paraId="78D0E96D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Najmä pri deficite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biotínu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. Pri bežnej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alopécii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treba hľadať príčinu.</w:t>
      </w:r>
    </w:p>
    <w:p w14:paraId="0197F4CF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„B-komplex mi dodá energiu, aj keď mám vitamínov dosť.“</w:t>
      </w:r>
    </w:p>
    <w:p w14:paraId="3D976691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B-vitamíny sú súčasťou energetického metabolizmu, ale u človeka bez deficitu nie sú stimulantom ani zdrojom energie.</w:t>
      </w:r>
    </w:p>
    <w:p w14:paraId="74469972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„Multivitamín nahradí zeleninu a pestrú stravu.“</w:t>
      </w:r>
    </w:p>
    <w:p w14:paraId="5379AEBD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Nie. Potraviny dodávajú vlákninu, bielkoviny, minerály a množstvo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bioaktívnych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látok, ktoré tableta nenahrádza.</w:t>
      </w:r>
    </w:p>
    <w:p w14:paraId="7AB29795" w14:textId="77777777" w:rsidR="00C3065C" w:rsidRDefault="00C3065C" w:rsidP="00DB2F09">
      <w:pPr>
        <w:rPr>
          <w:rFonts w:ascii="Calibri" w:eastAsia="Times New Roman" w:hAnsi="Calibri" w:cs="Calibri"/>
          <w:b/>
          <w:bCs/>
          <w:color w:val="365F91"/>
          <w:kern w:val="0"/>
          <w:sz w:val="28"/>
          <w:szCs w:val="28"/>
          <w:lang w:eastAsia="sk-SK"/>
          <w14:ligatures w14:val="none"/>
        </w:rPr>
      </w:pPr>
    </w:p>
    <w:p w14:paraId="7E3159F4" w14:textId="16B6B7B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365F91"/>
          <w:kern w:val="0"/>
          <w:sz w:val="28"/>
          <w:szCs w:val="28"/>
          <w:lang w:eastAsia="sk-SK"/>
          <w14:ligatures w14:val="none"/>
        </w:rPr>
        <w:t>20. Čo môžeme pacientovi tvrdiť</w:t>
      </w:r>
    </w:p>
    <w:p w14:paraId="4654E8EA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Pri výživových doplnkoch treba odlíšiť odborné vysvetlenie biologickej funkcie od reklamného zdravotného tvrdenia. V EÚ možno pri označovaní a reklame používať len autorizované zdravotné tvrdenia za stanovených podmienok použitia. To, že existuje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mechanistická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alebo klinická štúdia, automaticky neznamená, že dané tvrdenie je povolené na etikete alebo produktovej stránke.</w:t>
      </w:r>
    </w:p>
    <w:p w14:paraId="42783BD7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Typické autorizované formulácie sa týkajú napríklad príspevku vitamínu C, D, A, B6, B12 či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folátu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k normálnej funkcii imunitného systému; vitamínu C k tvorbe kolagénu; vitamínu D k udržaniu normálnych kostí a svalovej funkcie; vitamínu K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k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normálnej zrážanlivosti krvi a udržaniu normálnych kostí. Presné znenie a podmienky použitia sa vždy overujú v EU Register of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Nutrition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and Health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Claims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21A75122" w14:textId="77777777">
        <w:tc>
          <w:tcPr>
            <w:tcW w:w="9858" w:type="dxa"/>
            <w:shd w:val="clear" w:color="auto" w:fill="FDE9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9C70FD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Nepoužívať pri doplnku</w:t>
            </w: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„lieči anémiu“, „zabráni infekcii“, „lieči osteoporózu“, „odstráni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neuropatiu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“, „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detoxikuje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pečeň“, „zabráni infarktu“ – ak nejde o registrovaný liek s príslušnou indikáciou.</w:t>
            </w:r>
          </w:p>
        </w:tc>
      </w:tr>
    </w:tbl>
    <w:p w14:paraId="0BE17B3C" w14:textId="77777777" w:rsidR="00C3065C" w:rsidRDefault="00C3065C" w:rsidP="00DB2F09">
      <w:pPr>
        <w:rPr>
          <w:rFonts w:ascii="Calibri" w:eastAsia="Times New Roman" w:hAnsi="Calibri" w:cs="Calibri"/>
          <w:b/>
          <w:bCs/>
          <w:color w:val="365F91"/>
          <w:kern w:val="0"/>
          <w:sz w:val="28"/>
          <w:szCs w:val="28"/>
          <w:lang w:eastAsia="sk-SK"/>
          <w14:ligatures w14:val="none"/>
        </w:rPr>
      </w:pPr>
    </w:p>
    <w:p w14:paraId="2AE05A2C" w14:textId="306E207F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365F91"/>
          <w:kern w:val="0"/>
          <w:sz w:val="28"/>
          <w:szCs w:val="28"/>
          <w:lang w:eastAsia="sk-SK"/>
          <w14:ligatures w14:val="none"/>
        </w:rPr>
        <w:t>21. Rýchly ťahák pre magistru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1137"/>
        <w:gridCol w:w="1461"/>
        <w:gridCol w:w="1787"/>
        <w:gridCol w:w="1418"/>
        <w:gridCol w:w="1859"/>
        <w:gridCol w:w="1398"/>
      </w:tblGrid>
      <w:tr w:rsidR="00DB2F09" w:rsidRPr="00DB2F09" w14:paraId="681DD993" w14:textId="77777777">
        <w:tc>
          <w:tcPr>
            <w:tcW w:w="1643" w:type="dxa"/>
            <w:shd w:val="clear" w:color="auto" w:fill="D9EAF7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F01522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Vitamín</w:t>
            </w:r>
          </w:p>
        </w:tc>
        <w:tc>
          <w:tcPr>
            <w:tcW w:w="1643" w:type="dxa"/>
            <w:shd w:val="clear" w:color="auto" w:fill="D9EAF7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67C0AC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Kedy naň myslieť</w:t>
            </w:r>
          </w:p>
        </w:tc>
        <w:tc>
          <w:tcPr>
            <w:tcW w:w="1643" w:type="dxa"/>
            <w:shd w:val="clear" w:color="auto" w:fill="D9EAF7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5761F8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Typický problém</w:t>
            </w:r>
          </w:p>
        </w:tc>
        <w:tc>
          <w:tcPr>
            <w:tcW w:w="1643" w:type="dxa"/>
            <w:shd w:val="clear" w:color="auto" w:fill="D9EAF7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565EFB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Kľúčová bezpečnosť</w:t>
            </w:r>
          </w:p>
        </w:tc>
        <w:tc>
          <w:tcPr>
            <w:tcW w:w="1643" w:type="dxa"/>
            <w:shd w:val="clear" w:color="auto" w:fill="D9EAF7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868EA4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Liek/kontext</w:t>
            </w:r>
          </w:p>
        </w:tc>
        <w:tc>
          <w:tcPr>
            <w:tcW w:w="1643" w:type="dxa"/>
            <w:shd w:val="clear" w:color="auto" w:fill="D9EAF7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1AD9AE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Praktická veta</w:t>
            </w:r>
          </w:p>
        </w:tc>
      </w:tr>
      <w:tr w:rsidR="00DB2F09" w:rsidRPr="00DB2F09" w14:paraId="3B11F57B" w14:textId="77777777"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30D5DC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A</w:t>
            </w:r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89439E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malabsorpcia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, veľmi reštriktívna strava</w:t>
            </w:r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F3F76A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šeroslepota</w:t>
            </w:r>
            <w:proofErr w:type="spellEnd"/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677061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toxicita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retinolu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, gravidita</w:t>
            </w:r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4F0F09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fajčiar + beta-karotén</w:t>
            </w:r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007EEB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Vysoká dávka nie je preventívny antioxidant.</w:t>
            </w:r>
          </w:p>
        </w:tc>
      </w:tr>
      <w:tr w:rsidR="00DB2F09" w:rsidRPr="00DB2F09" w14:paraId="64A223EC" w14:textId="77777777"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03501E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D</w:t>
            </w:r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255FF9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nízka expozícia slnku, senior,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malabsorpcia</w:t>
            </w:r>
            <w:proofErr w:type="spellEnd"/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DF9B76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rachitída/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osteomalácia</w:t>
            </w:r>
            <w:proofErr w:type="spellEnd"/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5BED10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UL 100 µg=4 000 IU/d dospelí</w:t>
            </w:r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A24791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Ca, niektoré lieky</w:t>
            </w:r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A06DD3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Na stav meriame 25(OH)D.</w:t>
            </w:r>
          </w:p>
        </w:tc>
      </w:tr>
      <w:tr w:rsidR="00DB2F09" w:rsidRPr="00DB2F09" w14:paraId="2CB1A9D4" w14:textId="77777777"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4900A2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E</w:t>
            </w:r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AA0FE7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ťažká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malabsorpcia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tukov</w:t>
            </w:r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3114F0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neurologický deficit</w:t>
            </w:r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FD3D57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krvácanie pri vysokých dávkach</w:t>
            </w:r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26F9A4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antikoagulanciá</w:t>
            </w:r>
            <w:proofErr w:type="spellEnd"/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43C38B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Antioxidant ≠ čím viac, tým lepšie.</w:t>
            </w:r>
          </w:p>
        </w:tc>
      </w:tr>
      <w:tr w:rsidR="00DB2F09" w:rsidRPr="00DB2F09" w14:paraId="5B540ADE" w14:textId="77777777"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CCF552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K</w:t>
            </w:r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EC1351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malabsorpcia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, novorodenci</w:t>
            </w:r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AE0409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krvácanie</w:t>
            </w:r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DD9F9F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interakcia s VKA</w:t>
            </w:r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413BC7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warfarín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/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acenokumarol</w:t>
            </w:r>
            <w:proofErr w:type="spellEnd"/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9F10CA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Pri VKA je cieľ stabilný príjem.</w:t>
            </w:r>
          </w:p>
        </w:tc>
      </w:tr>
      <w:tr w:rsidR="00DB2F09" w:rsidRPr="00DB2F09" w14:paraId="2DBDA4B5" w14:textId="77777777"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31DFA8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C</w:t>
            </w:r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5E1749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nízky príjem ovocia/zeleniny, fajčiar</w:t>
            </w:r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B00A89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skorbut</w:t>
            </w:r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90FA64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GI ťažkosti, kamene u rizikových</w:t>
            </w:r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E2B93F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železo</w:t>
            </w:r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E9ADCE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Gramové dávky nie sú potrebné na fyziologické krytie.</w:t>
            </w:r>
          </w:p>
        </w:tc>
      </w:tr>
      <w:tr w:rsidR="00DB2F09" w:rsidRPr="00DB2F09" w14:paraId="1F7F1611" w14:textId="77777777"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648AAB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B1</w:t>
            </w:r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28B6F0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alkohol, vracanie,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malnutrícia</w:t>
            </w:r>
            <w:proofErr w:type="spellEnd"/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FECF7B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Wernicke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/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beriberi</w:t>
            </w:r>
            <w:proofErr w:type="spellEnd"/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6A87AA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urgentnosť pri neurologických príznakoch</w:t>
            </w:r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E34067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malnutrícia</w:t>
            </w:r>
            <w:proofErr w:type="spellEnd"/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2A795F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Zmätenosť +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ataxia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≠ B-komplex domov.</w:t>
            </w:r>
          </w:p>
        </w:tc>
      </w:tr>
      <w:tr w:rsidR="00DB2F09" w:rsidRPr="00DB2F09" w14:paraId="289E79CB" w14:textId="77777777"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7E5ADF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lastRenderedPageBreak/>
              <w:t>B2</w:t>
            </w:r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710EE7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malnutrícia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,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cheilitída</w:t>
            </w:r>
            <w:proofErr w:type="spellEnd"/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55915B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sliznice/koža</w:t>
            </w:r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B616F1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nízka toxicita</w:t>
            </w:r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9AEEF2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migréna – špecifické dávky</w:t>
            </w:r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CD9A1F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Žltý moč je očakávaný.</w:t>
            </w:r>
          </w:p>
        </w:tc>
      </w:tr>
      <w:tr w:rsidR="00DB2F09" w:rsidRPr="00DB2F09" w14:paraId="4DF0D59E" w14:textId="77777777"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B3351D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B3</w:t>
            </w:r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09879C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ťažká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malnutrícia</w:t>
            </w:r>
            <w:proofErr w:type="spellEnd"/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A418A1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pelagra</w:t>
            </w:r>
            <w:proofErr w:type="spellEnd"/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51B1BB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flushing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,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hepatotoxicita</w:t>
            </w:r>
            <w:proofErr w:type="spellEnd"/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1C133A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vysoké dávky</w:t>
            </w:r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1A45B4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500 mg niacínu už je vysoká dávka.</w:t>
            </w:r>
          </w:p>
        </w:tc>
      </w:tr>
      <w:tr w:rsidR="00DB2F09" w:rsidRPr="00DB2F09" w14:paraId="78B0633D" w14:textId="77777777"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3FF653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B5</w:t>
            </w:r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D9A585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ťažká celková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malnutrícia</w:t>
            </w:r>
            <w:proofErr w:type="spellEnd"/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AFB136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vzácny deficit</w:t>
            </w:r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2E52E9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nízka toxicita</w:t>
            </w:r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2F9CDE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—</w:t>
            </w:r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A1E3E3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Rutinná vysoká dávka má slabé opodstatnenie.</w:t>
            </w:r>
          </w:p>
        </w:tc>
      </w:tr>
      <w:tr w:rsidR="00DB2F09" w:rsidRPr="00DB2F09" w14:paraId="591DE293" w14:textId="77777777"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DC0AF5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B6</w:t>
            </w:r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9D0CC8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malabsorpcia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,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isoniazid</w:t>
            </w:r>
            <w:proofErr w:type="spellEnd"/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001BD6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anémia/neurologické prejavy</w:t>
            </w:r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38D004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neuropatia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; EFSA UL ~12 mg/d</w:t>
            </w:r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90D2CF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isoniazid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,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levodopa</w:t>
            </w:r>
            <w:proofErr w:type="spellEnd"/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F45998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Pri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parestéziách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skontroluj aj nadbytok B6.</w:t>
            </w:r>
          </w:p>
        </w:tc>
      </w:tr>
      <w:tr w:rsidR="00DB2F09" w:rsidRPr="00DB2F09" w14:paraId="1AE85DA2" w14:textId="77777777"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8A10BE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Biotín</w:t>
            </w:r>
            <w:proofErr w:type="spellEnd"/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B14614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vzácny deficit</w:t>
            </w:r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DA4D2D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dermatitída/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alopécia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pri deficite</w:t>
            </w:r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CF7E01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interferencia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lab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. testov</w:t>
            </w:r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21D137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troponín, TSH testy</w:t>
            </w:r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64178E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Pred odberom musí pacient nahlásiť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biotín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.</w:t>
            </w:r>
          </w:p>
        </w:tc>
      </w:tr>
      <w:tr w:rsidR="00DB2F09" w:rsidRPr="00DB2F09" w14:paraId="436F93FD" w14:textId="77777777"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5CC86C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Folát</w:t>
            </w:r>
            <w:proofErr w:type="spellEnd"/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81C4C9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gravidita,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malnutrícia</w:t>
            </w:r>
            <w:proofErr w:type="spellEnd"/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66F58F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megaloblastová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anémia</w:t>
            </w:r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E7650A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môže maskovať B12 deficit</w:t>
            </w:r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1BEE4C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metotrexát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, antiepileptiká</w:t>
            </w:r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91C642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Perikoncepčne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začať ešte pred počatím.</w:t>
            </w:r>
          </w:p>
        </w:tc>
      </w:tr>
      <w:tr w:rsidR="00DB2F09" w:rsidRPr="00DB2F09" w14:paraId="7C25F700" w14:textId="77777777"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8D2BBA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B12</w:t>
            </w:r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D337BF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vegán, senior,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metformín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, PPI</w:t>
            </w:r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0E3E34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anémia +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neuropatia</w:t>
            </w:r>
            <w:proofErr w:type="spellEnd"/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7523FC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neurologické poškodenie bez anémie</w:t>
            </w:r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F2653F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metformín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/PPI</w:t>
            </w:r>
          </w:p>
        </w:tc>
        <w:tc>
          <w:tcPr>
            <w:tcW w:w="16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22EE89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Parestézie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+ riziko B12 = vyšetriť, nielen doplnok.</w:t>
            </w:r>
          </w:p>
        </w:tc>
      </w:tr>
    </w:tbl>
    <w:p w14:paraId="3D9DF201" w14:textId="77777777" w:rsidR="00C3065C" w:rsidRDefault="00C3065C" w:rsidP="00DB2F09">
      <w:pPr>
        <w:rPr>
          <w:rFonts w:ascii="Calibri" w:eastAsia="Times New Roman" w:hAnsi="Calibri" w:cs="Calibri"/>
          <w:b/>
          <w:bCs/>
          <w:color w:val="365F91"/>
          <w:kern w:val="0"/>
          <w:sz w:val="28"/>
          <w:szCs w:val="28"/>
          <w:lang w:eastAsia="sk-SK"/>
          <w14:ligatures w14:val="none"/>
        </w:rPr>
      </w:pPr>
    </w:p>
    <w:p w14:paraId="5781B728" w14:textId="64417121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365F91"/>
          <w:kern w:val="0"/>
          <w:sz w:val="28"/>
          <w:szCs w:val="28"/>
          <w:lang w:eastAsia="sk-SK"/>
          <w14:ligatures w14:val="none"/>
        </w:rPr>
        <w:t>22. R</w:t>
      </w:r>
      <w:proofErr w:type="spellStart"/>
      <w:r w:rsidRPr="00DB2F09">
        <w:rPr>
          <w:rFonts w:ascii="Calibri" w:eastAsia="Times New Roman" w:hAnsi="Calibri" w:cs="Calibri"/>
          <w:b/>
          <w:bCs/>
          <w:color w:val="365F91"/>
          <w:kern w:val="0"/>
          <w:sz w:val="28"/>
          <w:szCs w:val="28"/>
          <w:lang w:eastAsia="sk-SK"/>
          <w14:ligatures w14:val="none"/>
        </w:rPr>
        <w:t>ed</w:t>
      </w:r>
      <w:proofErr w:type="spellEnd"/>
      <w:r w:rsidRPr="00DB2F09">
        <w:rPr>
          <w:rFonts w:ascii="Calibri" w:eastAsia="Times New Roman" w:hAnsi="Calibri" w:cs="Calibri"/>
          <w:b/>
          <w:bCs/>
          <w:color w:val="365F91"/>
          <w:kern w:val="0"/>
          <w:sz w:val="28"/>
          <w:szCs w:val="28"/>
          <w:lang w:eastAsia="sk-SK"/>
          <w14:ligatures w14:val="none"/>
        </w:rPr>
        <w:t xml:space="preserve"> </w:t>
      </w:r>
      <w:proofErr w:type="spellStart"/>
      <w:r w:rsidRPr="00DB2F09">
        <w:rPr>
          <w:rFonts w:ascii="Calibri" w:eastAsia="Times New Roman" w:hAnsi="Calibri" w:cs="Calibri"/>
          <w:b/>
          <w:bCs/>
          <w:color w:val="365F91"/>
          <w:kern w:val="0"/>
          <w:sz w:val="28"/>
          <w:szCs w:val="28"/>
          <w:lang w:eastAsia="sk-SK"/>
          <w14:ligatures w14:val="none"/>
        </w:rPr>
        <w:t>flags</w:t>
      </w:r>
      <w:proofErr w:type="spellEnd"/>
      <w:r w:rsidRPr="00DB2F09">
        <w:rPr>
          <w:rFonts w:ascii="Calibri" w:eastAsia="Times New Roman" w:hAnsi="Calibri" w:cs="Calibri"/>
          <w:b/>
          <w:bCs/>
          <w:color w:val="365F91"/>
          <w:kern w:val="0"/>
          <w:sz w:val="28"/>
          <w:szCs w:val="28"/>
          <w:lang w:eastAsia="sk-SK"/>
          <w14:ligatures w14:val="none"/>
        </w:rPr>
        <w:t xml:space="preserve"> – kedy neostať pri vitamíne</w:t>
      </w:r>
    </w:p>
    <w:p w14:paraId="265C529F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 xml:space="preserve">nové alebo progresívne neurologické príznaky: slabosť, porucha chôdze, </w:t>
      </w:r>
      <w:proofErr w:type="spellStart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ataxia</w:t>
      </w:r>
      <w:proofErr w:type="spellEnd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 xml:space="preserve">, výrazné </w:t>
      </w:r>
      <w:proofErr w:type="spellStart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parestézie</w:t>
      </w:r>
      <w:proofErr w:type="spellEnd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;</w:t>
      </w:r>
    </w:p>
    <w:p w14:paraId="3EDA767A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 xml:space="preserve">výrazná alebo nevysvetlená anémia, </w:t>
      </w:r>
      <w:proofErr w:type="spellStart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pancytopénia</w:t>
      </w:r>
      <w:proofErr w:type="spellEnd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, krvácanie;</w:t>
      </w:r>
    </w:p>
    <w:p w14:paraId="5E00028E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nevysvetlené chudnutie alebo dlhodobá horúčka;</w:t>
      </w:r>
    </w:p>
    <w:p w14:paraId="416EF26E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 xml:space="preserve">chronická hnačka, </w:t>
      </w:r>
      <w:proofErr w:type="spellStart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steatorea</w:t>
      </w:r>
      <w:proofErr w:type="spellEnd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 xml:space="preserve">, známky </w:t>
      </w:r>
      <w:proofErr w:type="spellStart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malabsorpcie</w:t>
      </w:r>
      <w:proofErr w:type="spellEnd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;</w:t>
      </w:r>
    </w:p>
    <w:p w14:paraId="58572E91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 xml:space="preserve">ťažká </w:t>
      </w:r>
      <w:proofErr w:type="spellStart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malnutrícia</w:t>
      </w:r>
      <w:proofErr w:type="spellEnd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, závislosť od alkoholu, dlhodobé vracanie;</w:t>
      </w:r>
    </w:p>
    <w:p w14:paraId="23A24AE4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 xml:space="preserve">podozrenie na rachitídu alebo </w:t>
      </w:r>
      <w:proofErr w:type="spellStart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osteomaláciu</w:t>
      </w:r>
      <w:proofErr w:type="spellEnd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;</w:t>
      </w:r>
    </w:p>
    <w:p w14:paraId="241FDAFB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proofErr w:type="spellStart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hyperkalciémia</w:t>
      </w:r>
      <w:proofErr w:type="spellEnd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 xml:space="preserve"> alebo príznaky toxicity vitamínu D;</w:t>
      </w:r>
    </w:p>
    <w:p w14:paraId="752093F7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 xml:space="preserve">tehotná žena s vysokým rizikom defektu </w:t>
      </w:r>
      <w:proofErr w:type="spellStart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neurálnej</w:t>
      </w:r>
      <w:proofErr w:type="spellEnd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 xml:space="preserve"> trubice;</w:t>
      </w:r>
    </w:p>
    <w:p w14:paraId="7DD96130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 xml:space="preserve">pacient po </w:t>
      </w:r>
      <w:proofErr w:type="spellStart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bariatrickej</w:t>
      </w:r>
      <w:proofErr w:type="spellEnd"/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 xml:space="preserve"> operácii s vracaním alebo neurologickými príznakmi;</w:t>
      </w:r>
    </w:p>
    <w:p w14:paraId="17727563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pacient užívajúci vysoké dávky vitamínov s novými ťažkosťami.</w:t>
      </w:r>
    </w:p>
    <w:p w14:paraId="666F4A96" w14:textId="77777777" w:rsidR="00C3065C" w:rsidRDefault="00C3065C" w:rsidP="00DB2F09">
      <w:pPr>
        <w:rPr>
          <w:rFonts w:ascii="Calibri" w:eastAsia="Times New Roman" w:hAnsi="Calibri" w:cs="Calibri"/>
          <w:b/>
          <w:bCs/>
          <w:color w:val="365F91"/>
          <w:kern w:val="0"/>
          <w:sz w:val="28"/>
          <w:szCs w:val="28"/>
          <w:lang w:eastAsia="sk-SK"/>
          <w14:ligatures w14:val="none"/>
        </w:rPr>
      </w:pPr>
    </w:p>
    <w:p w14:paraId="1D0E0FB0" w14:textId="6F59E33B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365F91"/>
          <w:kern w:val="0"/>
          <w:sz w:val="28"/>
          <w:szCs w:val="28"/>
          <w:lang w:eastAsia="sk-SK"/>
          <w14:ligatures w14:val="none"/>
        </w:rPr>
        <w:t>23. Praktické kazuistiky</w:t>
      </w:r>
    </w:p>
    <w:p w14:paraId="3F7C99AC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Kazuistika 1</w:t>
      </w:r>
    </w:p>
    <w:p w14:paraId="2A2020F2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68-ročná žena, PPI 8 rokov, únava a mravčenie chodidiel.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6D992FC7" w14:textId="77777777">
        <w:tc>
          <w:tcPr>
            <w:tcW w:w="9858" w:type="dxa"/>
            <w:shd w:val="clear" w:color="auto" w:fill="EEF5E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9CA601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Riešenie</w:t>
            </w: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Myslieť na B12, ale aj diabetes, anémiu, štítnu žľazu a ďalšie príčiny. Odporučiť lekárske vyšetrenie a B12; pri hraničnej B12 zvážiť MMA podľa lekára. Nepostačí len B-komplex.</w:t>
            </w:r>
          </w:p>
        </w:tc>
      </w:tr>
    </w:tbl>
    <w:p w14:paraId="28CAE712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Kazuistika 2</w:t>
      </w:r>
    </w:p>
    <w:p w14:paraId="0B0F6819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35-ročná žena plánuje tehotenstvo a pýta si multivitamín.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065E8358" w14:textId="77777777">
        <w:tc>
          <w:tcPr>
            <w:tcW w:w="9858" w:type="dxa"/>
            <w:shd w:val="clear" w:color="auto" w:fill="EEF5E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19304A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Riešenie</w:t>
            </w: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Zaistiť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folát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ešte pred počatím, skontrolovať vitamín A/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retinol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, D a duplicity. Pri antiepileptikách, diabete alebo predchádzajúcom NTD odoslať na individuálnu dávku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folátu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.</w:t>
            </w:r>
          </w:p>
        </w:tc>
      </w:tr>
    </w:tbl>
    <w:p w14:paraId="72E16F21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Kazuistika 3</w:t>
      </w:r>
    </w:p>
    <w:p w14:paraId="4D712C9D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Pacient užíva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warfarín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 priniesol si D3 + K2.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0E334115" w14:textId="77777777">
        <w:tc>
          <w:tcPr>
            <w:tcW w:w="9858" w:type="dxa"/>
            <w:shd w:val="clear" w:color="auto" w:fill="EEF5E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C964F8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Riešenie</w:t>
            </w: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Nevysvetľovať K2 ako povinnú súčasť D3. K2 môže meniť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antikoagulačný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účinok; koordinovať s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antikoagulačnou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ambulanciou.</w:t>
            </w:r>
          </w:p>
        </w:tc>
      </w:tr>
    </w:tbl>
    <w:p w14:paraId="5F5484F0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Kazuistika 4</w:t>
      </w:r>
    </w:p>
    <w:p w14:paraId="487CE1E0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Vegán užíva multivitamín s 2,5 µg B12 denne.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585FAA46" w14:textId="77777777">
        <w:tc>
          <w:tcPr>
            <w:tcW w:w="9858" w:type="dxa"/>
            <w:shd w:val="clear" w:color="auto" w:fill="EEF5E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F21D6C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Riešenie</w:t>
            </w: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To môže pokrývať referenčný príjem pri ideálnej absorpcii, ale dlhodobá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vegánska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suplementácia často používa </w:t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lastRenderedPageBreak/>
              <w:t>vyššie dávky pre obmedzenú frakčnú absorpciu a praktickú istotu. Overiť režim, fortifikované potraviny a prípadne stav B12.</w:t>
            </w:r>
          </w:p>
        </w:tc>
      </w:tr>
    </w:tbl>
    <w:p w14:paraId="69142ACD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lastRenderedPageBreak/>
        <w:t>Kazuistika 5</w:t>
      </w:r>
    </w:p>
    <w:p w14:paraId="45BADF7A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Pacientka užíva 10 mg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biotínu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denne a ide na odber štítnej žľazy.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2AEFF166" w14:textId="77777777">
        <w:tc>
          <w:tcPr>
            <w:tcW w:w="9858" w:type="dxa"/>
            <w:shd w:val="clear" w:color="auto" w:fill="EEF5E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1C1F77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Riešenie</w:t>
            </w: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Musí informovať lekára/laboratórium; vysoký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biotín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môže skresliť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imunochemické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testy. Dĺžku vysadenia určí konkrétny test/laboratórium.</w:t>
            </w:r>
          </w:p>
        </w:tc>
      </w:tr>
    </w:tbl>
    <w:p w14:paraId="520C8F60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Kazuistika 6</w:t>
      </w:r>
    </w:p>
    <w:p w14:paraId="46E52DFE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Pacient užíva 50 mg B6 denne už rok na 'nervy' a má zhoršujúce sa mravčenie.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78369B12" w14:textId="77777777">
        <w:tc>
          <w:tcPr>
            <w:tcW w:w="9858" w:type="dxa"/>
            <w:shd w:val="clear" w:color="auto" w:fill="EEF5E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223420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Riešenie</w:t>
            </w: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B6 môže byť príčinou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neuropatie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. Odporučiť vysadiť nadbytočnú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suplementáciu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po posúdení všetkých produktov a lekárske vyšetrenie.</w:t>
            </w:r>
          </w:p>
        </w:tc>
      </w:tr>
    </w:tbl>
    <w:p w14:paraId="61E7ED82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Kazuistika 7</w:t>
      </w:r>
    </w:p>
    <w:p w14:paraId="198F8AB1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Pacient má 25(OH)D výrazne pod referenčným pásmom.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4C758774" w14:textId="77777777">
        <w:tc>
          <w:tcPr>
            <w:tcW w:w="9858" w:type="dxa"/>
            <w:shd w:val="clear" w:color="auto" w:fill="EEF5E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C86272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Riešenie</w:t>
            </w: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Ide o liečbu deficitu, nie bežnú preventívnu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suplementáciu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. Dávku a trvanie prispôsobiť laboratórnej hodnote, klinike a kontrole kalcia/obličiek podľa lekára.</w:t>
            </w:r>
          </w:p>
        </w:tc>
      </w:tr>
    </w:tbl>
    <w:p w14:paraId="53DA5763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Kazuistika 8</w:t>
      </w:r>
    </w:p>
    <w:p w14:paraId="7A576088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Fajčiar chce antioxidant s vysokou dávkou beta-karoténu.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B2F09" w:rsidRPr="00DB2F09" w14:paraId="180E52E9" w14:textId="77777777">
        <w:tc>
          <w:tcPr>
            <w:tcW w:w="9858" w:type="dxa"/>
            <w:shd w:val="clear" w:color="auto" w:fill="EEF5E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1F2D02" w14:textId="77777777" w:rsidR="00DB2F09" w:rsidRPr="00DB2F09" w:rsidRDefault="00DB2F09" w:rsidP="00DB2F09">
            <w:pPr>
              <w:rPr>
                <w:rFonts w:ascii="Aptos" w:eastAsia="Times New Roman" w:hAnsi="Aptos" w:cs="Times New Roman"/>
                <w:kern w:val="0"/>
                <w:lang w:eastAsia="sk-SK"/>
                <w14:ligatures w14:val="none"/>
              </w:rPr>
            </w:pP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Riešenie</w:t>
            </w:r>
            <w:r w:rsidRPr="00DB2F09">
              <w:rPr>
                <w:rFonts w:ascii="Cambria" w:eastAsia="Times New Roman" w:hAnsi="Cambria" w:cs="Times New Roman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br/>
            </w:r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Neodporučiť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vysokodávkový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beta-karotén. Vybrať radšej produkt bez vysokého beta-karoténu a vysvetliť, že </w:t>
            </w:r>
            <w:proofErr w:type="spellStart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>suplement</w:t>
            </w:r>
            <w:proofErr w:type="spellEnd"/>
            <w:r w:rsidRPr="00DB2F09">
              <w:rPr>
                <w:rFonts w:ascii="Cambria" w:eastAsia="Times New Roman" w:hAnsi="Cambria" w:cs="Times New Roman"/>
                <w:kern w:val="0"/>
                <w:sz w:val="18"/>
                <w:szCs w:val="18"/>
                <w:lang w:eastAsia="sk-SK"/>
                <w14:ligatures w14:val="none"/>
              </w:rPr>
              <w:t xml:space="preserve"> nie je náhradou nefajčenia.</w:t>
            </w:r>
          </w:p>
        </w:tc>
      </w:tr>
    </w:tbl>
    <w:p w14:paraId="080D2BA2" w14:textId="77777777" w:rsidR="00C3065C" w:rsidRDefault="00C3065C" w:rsidP="00DB2F09">
      <w:pPr>
        <w:rPr>
          <w:rFonts w:ascii="Calibri" w:eastAsia="Times New Roman" w:hAnsi="Calibri" w:cs="Calibri"/>
          <w:b/>
          <w:bCs/>
          <w:color w:val="365F91"/>
          <w:kern w:val="0"/>
          <w:sz w:val="28"/>
          <w:szCs w:val="28"/>
          <w:lang w:eastAsia="sk-SK"/>
          <w14:ligatures w14:val="none"/>
        </w:rPr>
      </w:pPr>
    </w:p>
    <w:p w14:paraId="788F7C6C" w14:textId="568D5BF2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365F91"/>
          <w:kern w:val="0"/>
          <w:sz w:val="28"/>
          <w:szCs w:val="28"/>
          <w:lang w:eastAsia="sk-SK"/>
          <w14:ligatures w14:val="none"/>
        </w:rPr>
        <w:t>24. Záverečný test</w:t>
      </w:r>
    </w:p>
    <w:p w14:paraId="33A53BE3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1. Ktorý laboratórny parameter je základný marker stavu vitamínu D?</w:t>
      </w:r>
    </w:p>
    <w:p w14:paraId="64F748A8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2. Prečo UL nie je synonymum odporúčanej dennej dávky?</w:t>
      </w:r>
    </w:p>
    <w:p w14:paraId="7DAB4306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3. Aké riziko má dlhodobý nadbytok vitamínu B6?</w:t>
      </w:r>
    </w:p>
    <w:p w14:paraId="2E372FE5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4. Čo musí pacient na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warfaríne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vedieť o vitamíne K?</w:t>
      </w:r>
    </w:p>
    <w:p w14:paraId="163541A1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5. Prečo môže byť deficit B12 neurologicky závažný aj bez anémie?</w:t>
      </w:r>
    </w:p>
    <w:p w14:paraId="14238460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6. Ktoré dve liekové skupiny bežne zvyšujú pozornosť na B12?</w:t>
      </w:r>
    </w:p>
    <w:p w14:paraId="319A03E8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7. Čo je najdôležitejšia praktická informácia o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vysokodávkovom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biotíne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?</w:t>
      </w:r>
    </w:p>
    <w:p w14:paraId="7C94BB7C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8. Kedy treba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folát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začať pri plánovaní gravidity?</w:t>
      </w:r>
    </w:p>
    <w:p w14:paraId="70E98CF0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9. Prečo neodporúčame fajčiarom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vysokodávkový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beta-karotén?</w:t>
      </w:r>
    </w:p>
    <w:p w14:paraId="4AD0CDFF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10. Aký je približný EFSA UL vitamínu B6 pre dospelého?</w:t>
      </w:r>
    </w:p>
    <w:p w14:paraId="477B7E63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11. Koľko IU predstavuje 25 µg vitamínu D?</w:t>
      </w:r>
    </w:p>
    <w:p w14:paraId="67AC7221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12. Čo je hlavný problém gramových dávok niacínu?</w:t>
      </w:r>
    </w:p>
    <w:p w14:paraId="5DA357D8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13. Je K2 povinnou kombináciou ku každému D3? Zdôvodnite.</w:t>
      </w:r>
    </w:p>
    <w:p w14:paraId="5E6DDCF9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14. Prečo môže vitamín C zlepšiť absorpciu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nehemového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železa?</w:t>
      </w:r>
    </w:p>
    <w:p w14:paraId="37C31EB0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15. Pacient má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parestézie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 užíva B-komplex. Na ktoré dve opačné situácie s B-vitamínmi treba myslieť?</w:t>
      </w:r>
    </w:p>
    <w:p w14:paraId="537D24CC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16. Ktorý vitamín je zásadný pri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vegánskej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strave?</w:t>
      </w:r>
    </w:p>
    <w:p w14:paraId="02F97E4E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17. Aký je rozdiel medzi preventívnou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suplementáciou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 liečbou deficitu?</w:t>
      </w:r>
    </w:p>
    <w:p w14:paraId="386F21CC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18. Kedy je únava dôvodom na laboratórne vyšetrenie namiesto ďalšieho multivitamínu?</w:t>
      </w:r>
    </w:p>
    <w:p w14:paraId="1515F90D" w14:textId="77777777" w:rsidR="00C3065C" w:rsidRDefault="00C3065C" w:rsidP="00DB2F09">
      <w:pPr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</w:pPr>
    </w:p>
    <w:p w14:paraId="1A705014" w14:textId="7C4F9BB9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Kľúč k testu</w:t>
      </w:r>
    </w:p>
    <w:p w14:paraId="61BCC5E3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1. 25-hydroxyvitamín D [25(OH)D].</w:t>
      </w:r>
    </w:p>
    <w:p w14:paraId="22007F44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2. UL je hranica chronického príjmu, pri ktorej sa neočakáva riziko; nie cieľový príjem.</w:t>
      </w:r>
    </w:p>
    <w:p w14:paraId="081F1977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3. Periférna senzorická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neuropatia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</w:t>
      </w:r>
    </w:p>
    <w:p w14:paraId="2C20A1D4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4. Príjem má byť stabilný; náhle zmeny alebo doplnky K/K2 môžu meniť INR.</w:t>
      </w:r>
    </w:p>
    <w:p w14:paraId="7AED134F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5. Neurologické poškodenie môže predchádzať alebo prebiehať bez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megaloblastovej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anémie.</w:t>
      </w:r>
    </w:p>
    <w:p w14:paraId="740AC0F9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6.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Metformín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 dlhodobá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supresia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žalúdočnej kyseliny (PPI/H2).</w:t>
      </w:r>
    </w:p>
    <w:p w14:paraId="5B99F349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7. Interferencia s laboratórnymi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imunotestami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vrátane troponínu 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tyreoidálnych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testov.</w:t>
      </w:r>
    </w:p>
    <w:p w14:paraId="3C1727D6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8. Pred počatím.</w:t>
      </w:r>
    </w:p>
    <w:p w14:paraId="5F60214B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9. V štúdiách sa zvýšilo riziko karcinómu pľúc u fajčiarov pri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vysokodávkovej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suplementácii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</w:t>
      </w:r>
    </w:p>
    <w:p w14:paraId="05EA3150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lastRenderedPageBreak/>
        <w:t>10. Približne 12 mg/deň.</w:t>
      </w:r>
    </w:p>
    <w:p w14:paraId="04726F3B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11. 1 000 IU.</w:t>
      </w:r>
    </w:p>
    <w:p w14:paraId="3521E182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12.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Flushing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,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hepatotoxicita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 ďalšie metabolické nežiaduce účinky; nejde už o bežnú nutričnú dávku.</w:t>
      </w:r>
    </w:p>
    <w:p w14:paraId="6FD4FF1B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13. Nie; závisí od indikácie a pri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antagoniste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vitamínu K môže byť nevhodná.</w:t>
      </w:r>
    </w:p>
    <w:p w14:paraId="594BA891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14. Redukuje železo a podporuje tvorbu lepšie rozpustných komplexov, čím zlepšuje absorpciu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nehemového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železa.</w:t>
      </w:r>
    </w:p>
    <w:p w14:paraId="468EA2F5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15. Deficit B12 aj toxicita B6.</w:t>
      </w:r>
    </w:p>
    <w:p w14:paraId="690E7A80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16. Vitamín B12.</w:t>
      </w:r>
    </w:p>
    <w:p w14:paraId="6B7E771C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17. Prevencia kryje potrebu/riziko nedostatočného príjmu; liečba koriguje preukázaný deficit a môže vyžadovať vyššie dávky a monitoring.</w:t>
      </w:r>
    </w:p>
    <w:p w14:paraId="6DAC5B9D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18. Ak je dlhodobá, výrazná, nevysvetlená, sprevádzaná anémiou, chudnutím, neurologickými príznakmi alebo inými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red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flags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</w:t>
      </w:r>
    </w:p>
    <w:p w14:paraId="2D4AE0BB" w14:textId="77777777" w:rsidR="00C3065C" w:rsidRDefault="00C3065C" w:rsidP="00DB2F09">
      <w:pPr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</w:pPr>
    </w:p>
    <w:p w14:paraId="08438C33" w14:textId="07003055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24.1 Ako čítať odborné zdroje v týchto skriptách</w:t>
      </w:r>
    </w:p>
    <w:p w14:paraId="2266453D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EFSA DRV = európske referenčné hodnoty príjmu. EFSA UL = európske hodnotenie horného tolerovateľného príjmu. NIH ODS = odborné monografie Office of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Dietary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Supplements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 NICE/MHRA/FDA/CDC sú použité tam, kde poskytujú praktické klinické alebo bezpečnostné odporúčanie, ktoré EFSA DRV nerieši.</w:t>
      </w:r>
    </w:p>
    <w:p w14:paraId="487AFE4A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Pri každom terapeutickom použití konkrétneho registrovaného vitamínového lieku má prednosť aktuálne SPC daného lieku a národné klinické odporúčanie. Dávky v týchto skriptách neslúžia ako náhrada individuálneho predpisu.</w:t>
      </w:r>
    </w:p>
    <w:p w14:paraId="7F86F4C6" w14:textId="77777777" w:rsidR="00C3065C" w:rsidRDefault="00C3065C" w:rsidP="00DB2F09">
      <w:pPr>
        <w:rPr>
          <w:rFonts w:ascii="Calibri" w:eastAsia="Times New Roman" w:hAnsi="Calibri" w:cs="Calibri"/>
          <w:b/>
          <w:bCs/>
          <w:color w:val="365F91"/>
          <w:kern w:val="0"/>
          <w:sz w:val="28"/>
          <w:szCs w:val="28"/>
          <w:lang w:eastAsia="sk-SK"/>
          <w14:ligatures w14:val="none"/>
        </w:rPr>
      </w:pPr>
    </w:p>
    <w:p w14:paraId="317A4183" w14:textId="2C9C3416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365F91"/>
          <w:kern w:val="0"/>
          <w:sz w:val="28"/>
          <w:szCs w:val="28"/>
          <w:lang w:eastAsia="sk-SK"/>
          <w14:ligatures w14:val="none"/>
        </w:rPr>
        <w:t>25. Odborné zdroje</w:t>
      </w:r>
    </w:p>
    <w:p w14:paraId="3A301642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Pri aktualizácii skrípt majú prednosť primárne a autoritatívne zdroje. Internetové články výrobcov výživových doplnkov sa nepoužívajú ako hlavný dôkaz pre dávku, indikáciu ani bezpečnosť.</w:t>
      </w:r>
    </w:p>
    <w:p w14:paraId="61D2A962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•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European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Food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Safety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Authority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(EFSA).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Dietary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Reference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Values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for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nutrients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–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summary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report and nutrient-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specific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scientific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opinions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</w:t>
      </w:r>
    </w:p>
    <w:p w14:paraId="69B8F269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• EFSA.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Overview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on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Tolerable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Upper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Intake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Levels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as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derived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by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the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Scientific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Committee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on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Food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and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the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EFSA Panel on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Nutrition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,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Novel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Foods and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Food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Allergens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 Aktualizovaný súhrn UL.</w:t>
      </w:r>
    </w:p>
    <w:p w14:paraId="77388FDE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• EFSA NDA Panel.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Scientific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Opinion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on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the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Tolerable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Upper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Intake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Level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for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vitamin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B6. EFSA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Journal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, 2023.</w:t>
      </w:r>
    </w:p>
    <w:p w14:paraId="4FF41CCD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•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European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Commission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. EU Register of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Nutrition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and Health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Claims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</w:t>
      </w:r>
    </w:p>
    <w:p w14:paraId="6301C68D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• NIH Office of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Dietary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Supplements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.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Vitamin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 and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Carotenoids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–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Fact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Sheet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for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Health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Professionals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 Aktualizované 2025.</w:t>
      </w:r>
    </w:p>
    <w:p w14:paraId="562B0682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• NIH Office of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Dietary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Supplements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.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Vitamin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D –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Fact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Sheet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for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Health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Professionals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 Aktualizované 2025.</w:t>
      </w:r>
    </w:p>
    <w:p w14:paraId="4BA589A9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• NIH Office of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Dietary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Supplements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.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Vitamin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E –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Fact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Sheet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for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Health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Professionals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</w:t>
      </w:r>
    </w:p>
    <w:p w14:paraId="289EE978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• NIH Office of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Dietary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Supplements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.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Vitamin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K –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Fact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Sheet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for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Health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Professionals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</w:t>
      </w:r>
    </w:p>
    <w:p w14:paraId="736F6899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• NIH Office of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Dietary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Supplements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.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Vitamin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C –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Fact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Sheet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for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Health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Professionals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 Aktualizované 2025.</w:t>
      </w:r>
    </w:p>
    <w:p w14:paraId="140CA4C7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• NIH Office of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Dietary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Supplements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.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Thiamin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–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Fact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Sheet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for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Health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Professionals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</w:t>
      </w:r>
    </w:p>
    <w:p w14:paraId="441A2F0C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• NIH Office of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Dietary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Supplements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.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Riboflavin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–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Fact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Sheet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for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Health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Professionals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</w:t>
      </w:r>
    </w:p>
    <w:p w14:paraId="3B8BC783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• NIH Office of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Dietary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Supplements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.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Niacin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–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Fact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Sheet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for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Health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Professionals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</w:t>
      </w:r>
    </w:p>
    <w:p w14:paraId="7C71B27F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• NIH Office of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Dietary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Supplements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.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Pantothenic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Acid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–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Fact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Sheet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for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Health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Professionals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 Aktualizované 2026.</w:t>
      </w:r>
    </w:p>
    <w:p w14:paraId="30D99E09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• NIH Office of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Dietary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Supplements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.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Vitamin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B6 –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Fact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Sheet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for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Health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Professionals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</w:t>
      </w:r>
    </w:p>
    <w:p w14:paraId="27908854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• NIH Office of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Dietary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Supplements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.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Biotin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–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Fact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Sheet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for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Health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Professionals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</w:t>
      </w:r>
    </w:p>
    <w:p w14:paraId="6ECAB5CF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• NIH Office of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Dietary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Supplements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.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Folate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–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Fact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Sheet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for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Health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Professionals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</w:t>
      </w:r>
    </w:p>
    <w:p w14:paraId="71ADC859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• NIH Office of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Dietary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Supplements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.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Vitamin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B12 –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Fact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Sheet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for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Health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Professionals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. Aktualizované 2025.</w:t>
      </w:r>
    </w:p>
    <w:p w14:paraId="32EBEBCE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• WHO.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Healthy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diet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–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fact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sheet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, 2026.</w:t>
      </w:r>
    </w:p>
    <w:p w14:paraId="1FC1FFDA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lastRenderedPageBreak/>
        <w:t>• Pri terapeutických dávkach vitamínov: aktuálne SPC konkrétneho registrovaného lieku a platné národné/odborné klinické odporúčania pre danú diagnózu.</w:t>
      </w:r>
    </w:p>
    <w:p w14:paraId="1CBE4AEA" w14:textId="77777777" w:rsidR="00C3065C" w:rsidRDefault="00C3065C" w:rsidP="00DB2F09">
      <w:pPr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</w:pPr>
    </w:p>
    <w:p w14:paraId="708102A4" w14:textId="77694663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libri" w:eastAsia="Times New Roman" w:hAnsi="Calibri" w:cs="Calibri"/>
          <w:b/>
          <w:bCs/>
          <w:color w:val="4F81BD"/>
          <w:kern w:val="0"/>
          <w:sz w:val="26"/>
          <w:szCs w:val="26"/>
          <w:lang w:eastAsia="sk-SK"/>
          <w14:ligatures w14:val="none"/>
        </w:rPr>
        <w:t>25.1 Primárne a autoritatívne online zdroje</w:t>
      </w:r>
    </w:p>
    <w:p w14:paraId="204F537A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EFSA – </w:t>
      </w:r>
      <w:proofErr w:type="spellStart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>Dietary</w:t>
      </w:r>
      <w:proofErr w:type="spellEnd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 </w:t>
      </w:r>
      <w:proofErr w:type="spellStart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>Reference</w:t>
      </w:r>
      <w:proofErr w:type="spellEnd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 </w:t>
      </w:r>
      <w:proofErr w:type="spellStart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>Values</w:t>
      </w:r>
      <w:proofErr w:type="spellEnd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 </w:t>
      </w:r>
      <w:proofErr w:type="spellStart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>for</w:t>
      </w:r>
      <w:proofErr w:type="spellEnd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 </w:t>
      </w:r>
      <w:proofErr w:type="spellStart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>nutrients</w:t>
      </w:r>
      <w:proofErr w:type="spellEnd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, </w:t>
      </w:r>
      <w:proofErr w:type="spellStart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>Summary</w:t>
      </w:r>
      <w:proofErr w:type="spellEnd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 report: </w:t>
      </w: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https://www.efsa.europa.eu/sites/default/files/2017_09_DRVs_summary_report.pdf</w:t>
      </w:r>
    </w:p>
    <w:p w14:paraId="1E423994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EFSA – </w:t>
      </w:r>
      <w:proofErr w:type="spellStart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>Summary</w:t>
      </w:r>
      <w:proofErr w:type="spellEnd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 of </w:t>
      </w:r>
      <w:proofErr w:type="spellStart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>Tolerable</w:t>
      </w:r>
      <w:proofErr w:type="spellEnd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 </w:t>
      </w:r>
      <w:proofErr w:type="spellStart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>Upper</w:t>
      </w:r>
      <w:proofErr w:type="spellEnd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 </w:t>
      </w:r>
      <w:proofErr w:type="spellStart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>Intake</w:t>
      </w:r>
      <w:proofErr w:type="spellEnd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 </w:t>
      </w:r>
      <w:proofErr w:type="spellStart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>Levels</w:t>
      </w:r>
      <w:proofErr w:type="spellEnd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: </w:t>
      </w: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https://www.efsa.europa.eu/sites/default/files/2024-05/ul-summary-report.pdf</w:t>
      </w:r>
    </w:p>
    <w:p w14:paraId="6DA79677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EFSA – </w:t>
      </w:r>
      <w:proofErr w:type="spellStart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>Dietary</w:t>
      </w:r>
      <w:proofErr w:type="spellEnd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 </w:t>
      </w:r>
      <w:proofErr w:type="spellStart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>reference</w:t>
      </w:r>
      <w:proofErr w:type="spellEnd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 </w:t>
      </w:r>
      <w:proofErr w:type="spellStart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>values</w:t>
      </w:r>
      <w:proofErr w:type="spellEnd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 </w:t>
      </w:r>
      <w:proofErr w:type="spellStart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>topic</w:t>
      </w:r>
      <w:proofErr w:type="spellEnd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 </w:t>
      </w:r>
      <w:proofErr w:type="spellStart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>page</w:t>
      </w:r>
      <w:proofErr w:type="spellEnd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: </w:t>
      </w: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https://www.efsa.europa.eu/en/topics/topic/dietary-reference-values</w:t>
      </w:r>
    </w:p>
    <w:p w14:paraId="514439CE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proofErr w:type="spellStart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>European</w:t>
      </w:r>
      <w:proofErr w:type="spellEnd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 </w:t>
      </w:r>
      <w:proofErr w:type="spellStart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>Commission</w:t>
      </w:r>
      <w:proofErr w:type="spellEnd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 – EU Register of </w:t>
      </w:r>
      <w:proofErr w:type="spellStart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>Nutrition</w:t>
      </w:r>
      <w:proofErr w:type="spellEnd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 and Health </w:t>
      </w:r>
      <w:proofErr w:type="spellStart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>Claims</w:t>
      </w:r>
      <w:proofErr w:type="spellEnd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: </w:t>
      </w: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https://food.ec.europa.eu/food-safety/labelling-and-nutrition/nutrition-and-health-claims/eu-register-health-claims_en</w:t>
      </w:r>
    </w:p>
    <w:p w14:paraId="416A874D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NIH ODS – </w:t>
      </w:r>
      <w:proofErr w:type="spellStart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>Vitamin</w:t>
      </w:r>
      <w:proofErr w:type="spellEnd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 and </w:t>
      </w:r>
      <w:proofErr w:type="spellStart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>Mineral</w:t>
      </w:r>
      <w:proofErr w:type="spellEnd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 </w:t>
      </w:r>
      <w:proofErr w:type="spellStart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>Fact</w:t>
      </w:r>
      <w:proofErr w:type="spellEnd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 </w:t>
      </w:r>
      <w:proofErr w:type="spellStart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>Sheets</w:t>
      </w:r>
      <w:proofErr w:type="spellEnd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: </w:t>
      </w: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https://ods.od.nih.gov/factsheets/list-VitaminsMinerals/</w:t>
      </w:r>
    </w:p>
    <w:p w14:paraId="2ED56B4B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NIH ODS – </w:t>
      </w:r>
      <w:proofErr w:type="spellStart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>Vitamin</w:t>
      </w:r>
      <w:proofErr w:type="spellEnd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 B12, Health Professional: </w:t>
      </w: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https://ods.od.nih.gov/factsheets/VitaminB12-HealthProfessional/</w:t>
      </w:r>
    </w:p>
    <w:p w14:paraId="4C81D950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NIH ODS – </w:t>
      </w:r>
      <w:proofErr w:type="spellStart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>Folate</w:t>
      </w:r>
      <w:proofErr w:type="spellEnd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, Health Professional: </w:t>
      </w: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https://ods.od.nih.gov/factsheets/Folate-HealthProfessional/</w:t>
      </w:r>
    </w:p>
    <w:p w14:paraId="2C7AAD54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NIH ODS – </w:t>
      </w:r>
      <w:proofErr w:type="spellStart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>Vitamin</w:t>
      </w:r>
      <w:proofErr w:type="spellEnd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 B6, Health Professional: </w:t>
      </w: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https://ods.od.nih.gov/factsheets/VitaminB6-HealthProfessional/</w:t>
      </w:r>
    </w:p>
    <w:p w14:paraId="79582C21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NICE NG239 – </w:t>
      </w:r>
      <w:proofErr w:type="spellStart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>Vitamin</w:t>
      </w:r>
      <w:proofErr w:type="spellEnd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 B12 </w:t>
      </w:r>
      <w:proofErr w:type="spellStart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>deficiency</w:t>
      </w:r>
      <w:proofErr w:type="spellEnd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 in over 16s: </w:t>
      </w: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https://www.nice.org.uk/guidance/ng239</w:t>
      </w:r>
    </w:p>
    <w:p w14:paraId="46A1EC2B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MHRA – </w:t>
      </w:r>
      <w:proofErr w:type="spellStart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>Metformin</w:t>
      </w:r>
      <w:proofErr w:type="spellEnd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 and </w:t>
      </w:r>
      <w:proofErr w:type="spellStart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>reduced</w:t>
      </w:r>
      <w:proofErr w:type="spellEnd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 </w:t>
      </w:r>
      <w:proofErr w:type="spellStart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>vitamin</w:t>
      </w:r>
      <w:proofErr w:type="spellEnd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 B12 </w:t>
      </w:r>
      <w:proofErr w:type="spellStart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>levels</w:t>
      </w:r>
      <w:proofErr w:type="spellEnd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: </w:t>
      </w: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https://www.gov.uk/drug-safety-update/metformin-and-reduced-vitamin-b12-levels-new-advice-for-monitoring-patients-at-risk</w:t>
      </w:r>
    </w:p>
    <w:p w14:paraId="4CEE02F7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FDA – </w:t>
      </w:r>
      <w:proofErr w:type="spellStart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>Biotin</w:t>
      </w:r>
      <w:proofErr w:type="spellEnd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 </w:t>
      </w:r>
      <w:proofErr w:type="spellStart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>interference</w:t>
      </w:r>
      <w:proofErr w:type="spellEnd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 </w:t>
      </w:r>
      <w:proofErr w:type="spellStart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>with</w:t>
      </w:r>
      <w:proofErr w:type="spellEnd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 </w:t>
      </w:r>
      <w:proofErr w:type="spellStart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>troponin</w:t>
      </w:r>
      <w:proofErr w:type="spellEnd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 </w:t>
      </w:r>
      <w:proofErr w:type="spellStart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>laboratory</w:t>
      </w:r>
      <w:proofErr w:type="spellEnd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 </w:t>
      </w:r>
      <w:proofErr w:type="spellStart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>tests</w:t>
      </w:r>
      <w:proofErr w:type="spellEnd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: </w:t>
      </w: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https://www.fda.gov/medical-devices/in-vitro-diagnostics/biotin-interference-troponin-lab-tests-assays-subject-biotin-interference</w:t>
      </w:r>
    </w:p>
    <w:p w14:paraId="61F4934C" w14:textId="77777777" w:rsidR="00DB2F09" w:rsidRPr="00DB2F09" w:rsidRDefault="00DB2F09" w:rsidP="00DB2F09">
      <w:pPr>
        <w:ind w:hanging="360"/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CDC – </w:t>
      </w:r>
      <w:proofErr w:type="spellStart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>Folic</w:t>
      </w:r>
      <w:proofErr w:type="spellEnd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 </w:t>
      </w:r>
      <w:proofErr w:type="spellStart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>Acid</w:t>
      </w:r>
      <w:proofErr w:type="spellEnd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: </w:t>
      </w:r>
      <w:proofErr w:type="spellStart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>Facts</w:t>
      </w:r>
      <w:proofErr w:type="spellEnd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 </w:t>
      </w:r>
      <w:proofErr w:type="spellStart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>for</w:t>
      </w:r>
      <w:proofErr w:type="spellEnd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 </w:t>
      </w:r>
      <w:proofErr w:type="spellStart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>Clinicians</w:t>
      </w:r>
      <w:proofErr w:type="spellEnd"/>
      <w:r w:rsidRPr="00DB2F09">
        <w:rPr>
          <w:rFonts w:ascii="Aptos" w:eastAsia="Times New Roman" w:hAnsi="Aptos" w:cs="Times New Roman"/>
          <w:b/>
          <w:bCs/>
          <w:kern w:val="0"/>
          <w:lang w:eastAsia="sk-SK"/>
          <w14:ligatures w14:val="none"/>
        </w:rPr>
        <w:t xml:space="preserve">: </w:t>
      </w:r>
      <w:r w:rsidRPr="00DB2F09">
        <w:rPr>
          <w:rFonts w:ascii="Aptos" w:eastAsia="Times New Roman" w:hAnsi="Aptos" w:cs="Times New Roman"/>
          <w:kern w:val="0"/>
          <w:lang w:eastAsia="sk-SK"/>
          <w14:ligatures w14:val="none"/>
        </w:rPr>
        <w:t>https://www.cdc.gov/folic-acid/hcp/clinical-overview/index.html</w:t>
      </w:r>
    </w:p>
    <w:p w14:paraId="7EC3B514" w14:textId="77777777" w:rsidR="00DB2F09" w:rsidRPr="00DB2F09" w:rsidRDefault="00DB2F09" w:rsidP="00DB2F09">
      <w:pPr>
        <w:rPr>
          <w:rFonts w:ascii="Aptos" w:eastAsia="Times New Roman" w:hAnsi="Aptos" w:cs="Times New Roman"/>
          <w:kern w:val="0"/>
          <w:lang w:eastAsia="sk-SK"/>
          <w14:ligatures w14:val="none"/>
        </w:rPr>
      </w:pPr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Stav zdrojov skontrolovaný: 16. 8. 2026. Pri budúcom použití školenia je vhodné aspoň raz ročne skontrolovať EFSA UL, klinické </w:t>
      </w:r>
      <w:proofErr w:type="spellStart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>guidelines</w:t>
      </w:r>
      <w:proofErr w:type="spellEnd"/>
      <w:r w:rsidRPr="00DB2F09">
        <w:rPr>
          <w:rFonts w:ascii="Cambria" w:eastAsia="Times New Roman" w:hAnsi="Cambria" w:cs="Times New Roman"/>
          <w:kern w:val="0"/>
          <w:sz w:val="22"/>
          <w:szCs w:val="22"/>
          <w:lang w:eastAsia="sk-SK"/>
          <w14:ligatures w14:val="none"/>
        </w:rPr>
        <w:t xml:space="preserve"> a SPC liekov, pretože bezpečnostné odporúčania sa môžu aktualizovať.</w:t>
      </w:r>
    </w:p>
    <w:sectPr w:rsidR="00DB2F09" w:rsidRPr="00DB2F09" w:rsidSect="0061757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/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F06"/>
    <w:rsid w:val="003F241B"/>
    <w:rsid w:val="00617575"/>
    <w:rsid w:val="006F7A9D"/>
    <w:rsid w:val="009219C6"/>
    <w:rsid w:val="00AC32BA"/>
    <w:rsid w:val="00BC35BB"/>
    <w:rsid w:val="00C068F0"/>
    <w:rsid w:val="00C3065C"/>
    <w:rsid w:val="00CF384B"/>
    <w:rsid w:val="00D01F06"/>
    <w:rsid w:val="00DB2F09"/>
    <w:rsid w:val="00E64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4938E"/>
  <w15:chartTrackingRefBased/>
  <w15:docId w15:val="{DA240F0D-4FDB-2B48-B5DF-887FF17E9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01F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D01F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D01F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01F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01F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01F0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01F0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01F0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01F0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01F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D01F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D01F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01F0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01F0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01F0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01F0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01F0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01F0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01F0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01F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01F0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01F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01F0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01F0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01F0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01F06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01F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01F06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01F06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lny"/>
    <w:rsid w:val="00D01F0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character" w:styleId="Vrazn">
    <w:name w:val="Strong"/>
    <w:basedOn w:val="Predvolenpsmoodseku"/>
    <w:uiPriority w:val="22"/>
    <w:qFormat/>
    <w:rsid w:val="00D01F06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D01F0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paragraph" w:customStyle="1" w:styleId="msonormal0">
    <w:name w:val="msonormal"/>
    <w:basedOn w:val="Normlny"/>
    <w:rsid w:val="00DB2F0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paragraph" w:customStyle="1" w:styleId="artifact-docx-previewheader">
    <w:name w:val="artifact-docx-preview_header"/>
    <w:basedOn w:val="Normlny"/>
    <w:rsid w:val="00DB2F0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paragraph" w:customStyle="1" w:styleId="artifact-docx-previewfooter">
    <w:name w:val="artifact-docx-preview_footer"/>
    <w:basedOn w:val="Normlny"/>
    <w:rsid w:val="00DB2F0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paragraph" w:customStyle="1" w:styleId="artifact-docx-previewheading1">
    <w:name w:val="artifact-docx-preview_heading1"/>
    <w:basedOn w:val="Normlny"/>
    <w:rsid w:val="00DB2F0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paragraph" w:customStyle="1" w:styleId="artifact-docx-previewheading2">
    <w:name w:val="artifact-docx-preview_heading2"/>
    <w:basedOn w:val="Normlny"/>
    <w:rsid w:val="00DB2F0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paragraph" w:customStyle="1" w:styleId="artifact-docx-previewlistbullet">
    <w:name w:val="artifact-docx-preview_listbullet"/>
    <w:basedOn w:val="Normlny"/>
    <w:rsid w:val="00DB2F0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paragraph" w:customStyle="1" w:styleId="artifact-docx-previewlistnumber">
    <w:name w:val="artifact-docx-preview_listnumber"/>
    <w:basedOn w:val="Normlny"/>
    <w:rsid w:val="00DB2F0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20</Pages>
  <Words>9267</Words>
  <Characters>52827</Characters>
  <Application>Microsoft Office Word</Application>
  <DocSecurity>0</DocSecurity>
  <Lines>440</Lines>
  <Paragraphs>123</Paragraphs>
  <ScaleCrop>false</ScaleCrop>
  <Company/>
  <LinksUpToDate>false</LinksUpToDate>
  <CharactersWithSpaces>61971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Vicky Wall 02</cp:lastModifiedBy>
  <cp:revision>2</cp:revision>
  <dcterms:created xsi:type="dcterms:W3CDTF">2026-08-25T11:05:00Z</dcterms:created>
  <dcterms:modified xsi:type="dcterms:W3CDTF">2026-08-25T11:05:00Z</dcterms:modified>
</cp:coreProperties>
</file>